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A374E" w14:textId="79B21657" w:rsidR="002806FA" w:rsidRPr="00EE1087" w:rsidRDefault="002806FA" w:rsidP="00264A14">
      <w:pPr>
        <w:pStyle w:val="berschrift1"/>
      </w:pPr>
      <w:bookmarkStart w:id="0" w:name="_Toc48488755"/>
      <w:bookmarkStart w:id="1" w:name="_Toc54433032"/>
      <w:bookmarkStart w:id="2" w:name="_Toc54433076"/>
      <w:bookmarkStart w:id="3" w:name="_Toc54440139"/>
      <w:bookmarkStart w:id="4" w:name="_Toc54595557"/>
      <w:r w:rsidRPr="00EE1087">
        <w:t>Angaben zur Betriebsanlage</w:t>
      </w:r>
      <w:bookmarkEnd w:id="0"/>
      <w:bookmarkEnd w:id="1"/>
      <w:bookmarkEnd w:id="2"/>
      <w:bookmarkEnd w:id="3"/>
      <w:bookmarkEnd w:id="4"/>
      <w:r w:rsidRPr="00EE1087">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7"/>
        <w:gridCol w:w="6162"/>
      </w:tblGrid>
      <w:tr w:rsidR="002806FA" w14:paraId="07B2DD27" w14:textId="77777777" w:rsidTr="00F430F0">
        <w:trPr>
          <w:trHeight w:val="560"/>
        </w:trPr>
        <w:tc>
          <w:tcPr>
            <w:tcW w:w="3477" w:type="dxa"/>
            <w:tcBorders>
              <w:top w:val="single" w:sz="4" w:space="0" w:color="auto"/>
              <w:left w:val="single" w:sz="4" w:space="0" w:color="auto"/>
              <w:bottom w:val="single" w:sz="4" w:space="0" w:color="auto"/>
              <w:right w:val="single" w:sz="4" w:space="0" w:color="auto"/>
            </w:tcBorders>
          </w:tcPr>
          <w:p w14:paraId="1D6890DE" w14:textId="77777777" w:rsidR="002806FA" w:rsidRDefault="002806FA" w:rsidP="00264A14">
            <w:r w:rsidRPr="00264A14">
              <w:t>Firmenname</w:t>
            </w:r>
            <w:r>
              <w:t>:</w:t>
            </w:r>
          </w:p>
        </w:tc>
        <w:tc>
          <w:tcPr>
            <w:tcW w:w="6162" w:type="dxa"/>
            <w:tcBorders>
              <w:top w:val="single" w:sz="4" w:space="0" w:color="auto"/>
              <w:left w:val="single" w:sz="4" w:space="0" w:color="auto"/>
              <w:bottom w:val="single" w:sz="4" w:space="0" w:color="auto"/>
              <w:right w:val="single" w:sz="4" w:space="0" w:color="auto"/>
            </w:tcBorders>
          </w:tcPr>
          <w:p w14:paraId="4F8A4CD8" w14:textId="77777777" w:rsidR="002806FA" w:rsidRPr="006C256D" w:rsidRDefault="002806FA" w:rsidP="00264A14">
            <w:pPr>
              <w:pStyle w:val="Textkrper"/>
            </w:pPr>
          </w:p>
        </w:tc>
      </w:tr>
      <w:tr w:rsidR="002806FA" w14:paraId="68D31124" w14:textId="77777777" w:rsidTr="00F430F0">
        <w:trPr>
          <w:trHeight w:val="560"/>
        </w:trPr>
        <w:tc>
          <w:tcPr>
            <w:tcW w:w="3477" w:type="dxa"/>
            <w:tcBorders>
              <w:top w:val="single" w:sz="4" w:space="0" w:color="auto"/>
              <w:left w:val="single" w:sz="4" w:space="0" w:color="auto"/>
              <w:bottom w:val="single" w:sz="4" w:space="0" w:color="auto"/>
              <w:right w:val="single" w:sz="4" w:space="0" w:color="auto"/>
            </w:tcBorders>
          </w:tcPr>
          <w:p w14:paraId="73DADD1C" w14:textId="77777777" w:rsidR="002806FA" w:rsidRDefault="002806FA" w:rsidP="00264A14">
            <w:r>
              <w:t>Ortsangaben:</w:t>
            </w:r>
            <w:r>
              <w:br/>
              <w:t>(Straße, Gebäude, Geschoss usw.)</w:t>
            </w:r>
          </w:p>
        </w:tc>
        <w:tc>
          <w:tcPr>
            <w:tcW w:w="6162" w:type="dxa"/>
            <w:tcBorders>
              <w:top w:val="single" w:sz="4" w:space="0" w:color="auto"/>
              <w:left w:val="single" w:sz="4" w:space="0" w:color="auto"/>
              <w:bottom w:val="single" w:sz="4" w:space="0" w:color="auto"/>
              <w:right w:val="single" w:sz="4" w:space="0" w:color="auto"/>
            </w:tcBorders>
            <w:vAlign w:val="center"/>
          </w:tcPr>
          <w:p w14:paraId="2E616100" w14:textId="77777777" w:rsidR="002806FA" w:rsidRPr="006C256D" w:rsidRDefault="002806FA" w:rsidP="00264A14">
            <w:pPr>
              <w:pStyle w:val="Textkrper"/>
            </w:pPr>
          </w:p>
        </w:tc>
      </w:tr>
      <w:tr w:rsidR="002806FA" w14:paraId="197A852F" w14:textId="77777777" w:rsidTr="00F430F0">
        <w:trPr>
          <w:trHeight w:val="560"/>
        </w:trPr>
        <w:tc>
          <w:tcPr>
            <w:tcW w:w="3477" w:type="dxa"/>
            <w:tcBorders>
              <w:top w:val="single" w:sz="4" w:space="0" w:color="auto"/>
              <w:left w:val="single" w:sz="4" w:space="0" w:color="auto"/>
              <w:bottom w:val="single" w:sz="4" w:space="0" w:color="auto"/>
              <w:right w:val="single" w:sz="4" w:space="0" w:color="auto"/>
            </w:tcBorders>
          </w:tcPr>
          <w:p w14:paraId="0445919C" w14:textId="77777777" w:rsidR="002806FA" w:rsidRDefault="002806FA" w:rsidP="00264A14">
            <w:r>
              <w:t>Gewerbebehördliche Genehmigung</w:t>
            </w:r>
          </w:p>
        </w:tc>
        <w:tc>
          <w:tcPr>
            <w:tcW w:w="6162" w:type="dxa"/>
            <w:tcBorders>
              <w:top w:val="single" w:sz="4" w:space="0" w:color="auto"/>
              <w:left w:val="single" w:sz="4" w:space="0" w:color="auto"/>
              <w:bottom w:val="single" w:sz="4" w:space="0" w:color="auto"/>
              <w:right w:val="single" w:sz="4" w:space="0" w:color="auto"/>
            </w:tcBorders>
          </w:tcPr>
          <w:p w14:paraId="7BEFC6FD" w14:textId="77777777" w:rsidR="002806FA" w:rsidRPr="006C256D" w:rsidRDefault="002806FA" w:rsidP="00264A14">
            <w:r w:rsidRPr="006C256D">
              <w:t xml:space="preserve">Geschäftszahl: </w:t>
            </w:r>
          </w:p>
          <w:p w14:paraId="38B1D664" w14:textId="77777777" w:rsidR="002806FA" w:rsidRPr="006C256D" w:rsidRDefault="002806FA" w:rsidP="00264A14">
            <w:r w:rsidRPr="006C256D">
              <w:t>Datum des Bescheides:</w:t>
            </w:r>
          </w:p>
        </w:tc>
      </w:tr>
    </w:tbl>
    <w:p w14:paraId="05CAFA0B" w14:textId="5D38B5A4" w:rsidR="002806FA" w:rsidRDefault="002806FA" w:rsidP="00264A14">
      <w:pPr>
        <w:pStyle w:val="Sprechblasentext"/>
      </w:pPr>
    </w:p>
    <w:p w14:paraId="5325D860" w14:textId="4763D1DD" w:rsidR="00FA477B" w:rsidRDefault="00FA477B" w:rsidP="00264A14">
      <w:pPr>
        <w:pStyle w:val="berschrift1"/>
      </w:pPr>
      <w:bookmarkStart w:id="5" w:name="_Toc54433077"/>
      <w:bookmarkStart w:id="6" w:name="_Toc54440140"/>
      <w:bookmarkStart w:id="7" w:name="_Toc54595558"/>
      <w:r w:rsidRPr="004A2C36">
        <w:t>Beschreibung der baulichen Gegebenheiten und Anlagen</w:t>
      </w:r>
      <w:bookmarkEnd w:id="5"/>
      <w:bookmarkEnd w:id="6"/>
      <w:bookmarkEnd w:id="7"/>
    </w:p>
    <w:tbl>
      <w:tblPr>
        <w:tblStyle w:val="Tabellenraster"/>
        <w:tblW w:w="9634" w:type="dxa"/>
        <w:tblLook w:val="04A0" w:firstRow="1" w:lastRow="0" w:firstColumn="1" w:lastColumn="0" w:noHBand="0" w:noVBand="1"/>
      </w:tblPr>
      <w:tblGrid>
        <w:gridCol w:w="9634"/>
      </w:tblGrid>
      <w:tr w:rsidR="00913C62" w14:paraId="0980C7FD" w14:textId="77777777" w:rsidTr="00915DF6">
        <w:tc>
          <w:tcPr>
            <w:tcW w:w="9634" w:type="dxa"/>
          </w:tcPr>
          <w:p w14:paraId="60DA82B2" w14:textId="77777777" w:rsidR="00913C62" w:rsidRDefault="00913C62" w:rsidP="00264A14">
            <w:pPr>
              <w:rPr>
                <w:lang w:val="de-AT" w:eastAsia="de-AT"/>
              </w:rPr>
            </w:pPr>
            <w:r>
              <w:rPr>
                <w:lang w:val="de-AT" w:eastAsia="de-AT"/>
              </w:rPr>
              <w:t>Betrachtete Bereiche</w:t>
            </w:r>
          </w:p>
          <w:p w14:paraId="39D4DC4D" w14:textId="77777777" w:rsidR="00913C62" w:rsidRDefault="00913C62" w:rsidP="00264A14">
            <w:pPr>
              <w:rPr>
                <w:lang w:val="de-AT" w:eastAsia="de-AT"/>
              </w:rPr>
            </w:pPr>
          </w:p>
          <w:p w14:paraId="3614568E" w14:textId="77777777" w:rsidR="00913C62" w:rsidRDefault="00913C62" w:rsidP="00264A14">
            <w:pPr>
              <w:rPr>
                <w:lang w:val="de-AT" w:eastAsia="de-AT"/>
              </w:rPr>
            </w:pPr>
          </w:p>
          <w:p w14:paraId="45496498" w14:textId="77777777" w:rsidR="00913C62" w:rsidRDefault="00913C62" w:rsidP="00264A14">
            <w:pPr>
              <w:rPr>
                <w:lang w:val="de-AT" w:eastAsia="de-AT"/>
              </w:rPr>
            </w:pPr>
          </w:p>
          <w:p w14:paraId="2BA50159" w14:textId="77777777" w:rsidR="00913C62" w:rsidRDefault="00913C62" w:rsidP="00264A14">
            <w:pPr>
              <w:rPr>
                <w:lang w:val="de-AT" w:eastAsia="de-AT"/>
              </w:rPr>
            </w:pPr>
          </w:p>
          <w:p w14:paraId="74317CE9" w14:textId="77777777" w:rsidR="00913C62" w:rsidRDefault="00913C62" w:rsidP="00264A14">
            <w:pPr>
              <w:rPr>
                <w:lang w:val="de-AT" w:eastAsia="de-AT"/>
              </w:rPr>
            </w:pPr>
          </w:p>
          <w:p w14:paraId="2991DEB9" w14:textId="77777777" w:rsidR="00913C62" w:rsidRDefault="00913C62" w:rsidP="00264A14">
            <w:pPr>
              <w:rPr>
                <w:lang w:val="de-AT" w:eastAsia="de-AT"/>
              </w:rPr>
            </w:pPr>
          </w:p>
          <w:p w14:paraId="5C1A1E38" w14:textId="77777777" w:rsidR="00913C62" w:rsidRDefault="00913C62" w:rsidP="00264A14">
            <w:pPr>
              <w:rPr>
                <w:lang w:val="de-AT" w:eastAsia="de-AT"/>
              </w:rPr>
            </w:pPr>
          </w:p>
          <w:p w14:paraId="0A4EBBA1" w14:textId="7F8F292A" w:rsidR="00913C62" w:rsidRDefault="00913C62" w:rsidP="00264A14"/>
        </w:tc>
      </w:tr>
    </w:tbl>
    <w:p w14:paraId="5F5723F5" w14:textId="77777777" w:rsidR="00F430F0" w:rsidRPr="004A2C36" w:rsidRDefault="00F430F0" w:rsidP="00264A14">
      <w:pPr>
        <w:pStyle w:val="berschrift1"/>
      </w:pPr>
      <w:bookmarkStart w:id="8" w:name="_Toc54433078"/>
      <w:bookmarkStart w:id="9" w:name="_Toc54440141"/>
      <w:bookmarkStart w:id="10" w:name="_Toc54595559"/>
      <w:r w:rsidRPr="004A2C36">
        <w:t>Verfahrens- und ggf. Tätigkeitsbeschreibung</w:t>
      </w:r>
      <w:bookmarkEnd w:id="8"/>
      <w:bookmarkEnd w:id="9"/>
      <w:bookmarkEnd w:id="1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430F0" w:rsidRPr="004A2C36" w14:paraId="1CDBE0AC" w14:textId="77777777" w:rsidTr="00F430F0">
        <w:trPr>
          <w:trHeight w:val="454"/>
        </w:trPr>
        <w:tc>
          <w:tcPr>
            <w:tcW w:w="9606" w:type="dxa"/>
            <w:vAlign w:val="center"/>
          </w:tcPr>
          <w:p w14:paraId="1CD754F1" w14:textId="77777777" w:rsidR="00150088" w:rsidRDefault="00150088" w:rsidP="00264A14">
            <w:r w:rsidRPr="00150088">
              <w:t xml:space="preserve">Aufladen </w:t>
            </w:r>
            <w:r>
              <w:t>von</w:t>
            </w:r>
            <w:r w:rsidRPr="00150088">
              <w:t xml:space="preserve"> Elektro</w:t>
            </w:r>
            <w:r>
              <w:t>fahrzeugen mit Bleibatterien</w:t>
            </w:r>
            <w:r w:rsidRPr="00150088">
              <w:t xml:space="preserve">. </w:t>
            </w:r>
          </w:p>
          <w:p w14:paraId="24B05C91" w14:textId="304EFBE6" w:rsidR="00F430F0" w:rsidRPr="004A2C36" w:rsidRDefault="00150088" w:rsidP="00264A14">
            <w:r w:rsidRPr="00150088">
              <w:t xml:space="preserve">Entstehung von Wasserstoff </w:t>
            </w:r>
            <w:r>
              <w:t>während des</w:t>
            </w:r>
            <w:r w:rsidRPr="00150088">
              <w:t xml:space="preserve"> Ladevorgang</w:t>
            </w:r>
            <w:r>
              <w:t>es</w:t>
            </w:r>
          </w:p>
        </w:tc>
      </w:tr>
    </w:tbl>
    <w:p w14:paraId="1FD7A85E" w14:textId="77777777" w:rsidR="00F430F0" w:rsidRPr="002A5EEA" w:rsidRDefault="00F430F0" w:rsidP="00264A14">
      <w:pPr>
        <w:pStyle w:val="berschrift1"/>
      </w:pPr>
      <w:bookmarkStart w:id="11" w:name="_Toc48488758"/>
      <w:bookmarkStart w:id="12" w:name="_Toc54433079"/>
      <w:bookmarkStart w:id="13" w:name="_Toc54440142"/>
      <w:bookmarkStart w:id="14" w:name="_Toc54595560"/>
      <w:r w:rsidRPr="002A5EEA">
        <w:t>Regelwerke</w:t>
      </w:r>
      <w:bookmarkEnd w:id="11"/>
      <w:bookmarkEnd w:id="12"/>
      <w:bookmarkEnd w:id="13"/>
      <w:bookmarkEnd w:id="1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430F0" w14:paraId="42C212FD" w14:textId="77777777" w:rsidTr="00F430F0">
        <w:trPr>
          <w:trHeight w:val="454"/>
        </w:trPr>
        <w:tc>
          <w:tcPr>
            <w:tcW w:w="9606" w:type="dxa"/>
            <w:vAlign w:val="center"/>
          </w:tcPr>
          <w:p w14:paraId="587313D1" w14:textId="0FA70F5F" w:rsidR="00F430F0" w:rsidRDefault="00F430F0" w:rsidP="00004185">
            <w:pPr>
              <w:pStyle w:val="Listenabsatz"/>
              <w:numPr>
                <w:ilvl w:val="0"/>
                <w:numId w:val="3"/>
              </w:numPr>
            </w:pPr>
            <w:r>
              <w:t>Verordnung explosionsfähige</w:t>
            </w:r>
            <w:r w:rsidR="00387682">
              <w:t>r</w:t>
            </w:r>
            <w:r>
              <w:t xml:space="preserve"> Atmosphären – VEXAT StF: BGBl. II Nr. 309/2004 + VEXAT Anhang (gemäß § 15 Abs. 1) Elektrische Anlagen in explosionsgefährdeten Bereichen Kabel und Leitungen</w:t>
            </w:r>
          </w:p>
          <w:p w14:paraId="7850161D" w14:textId="77777777" w:rsidR="00F430F0" w:rsidRDefault="00F430F0" w:rsidP="00004185">
            <w:pPr>
              <w:pStyle w:val="Listenabsatz"/>
              <w:numPr>
                <w:ilvl w:val="0"/>
                <w:numId w:val="3"/>
              </w:numPr>
            </w:pPr>
            <w:r>
              <w:t>ÖVE/ÖNORM EN 62485-</w:t>
            </w:r>
            <w:r w:rsidR="00150088">
              <w:t>3</w:t>
            </w:r>
            <w:r>
              <w:t xml:space="preserve"> Ausgabe: 201</w:t>
            </w:r>
            <w:r w:rsidR="00150088">
              <w:t>5</w:t>
            </w:r>
            <w:r>
              <w:t>-</w:t>
            </w:r>
            <w:r w:rsidR="00150088">
              <w:t>10</w:t>
            </w:r>
            <w:r>
              <w:t xml:space="preserve">-01 Sicherheitsanforderungen an Sekundär-Batterien und Batterieanlagen </w:t>
            </w:r>
            <w:r w:rsidR="00150088">
              <w:t>Teil 3: Antriebsbatterien für Elektrofahrzeuge (IEC 62485-3:2014)</w:t>
            </w:r>
          </w:p>
          <w:p w14:paraId="7DE48B7F" w14:textId="4998F725" w:rsidR="00B45E2A" w:rsidRDefault="00B45E2A" w:rsidP="00004185">
            <w:pPr>
              <w:pStyle w:val="Listenabsatz"/>
              <w:numPr>
                <w:ilvl w:val="0"/>
                <w:numId w:val="3"/>
              </w:numPr>
            </w:pPr>
            <w:r>
              <w:t>ArbeitnehmerInnenschutzgesetz – ASchG (BGBl. Nr. 450/1994) i.d.g.F.</w:t>
            </w:r>
          </w:p>
          <w:p w14:paraId="2D0A3F19" w14:textId="7B3313CE" w:rsidR="00B45E2A" w:rsidRDefault="00B45E2A" w:rsidP="00004185">
            <w:pPr>
              <w:pStyle w:val="Listenabsatz"/>
              <w:numPr>
                <w:ilvl w:val="0"/>
                <w:numId w:val="3"/>
              </w:numPr>
            </w:pPr>
            <w:r>
              <w:t>Arbeitsstättenverordnung – AStV (BGBl. II Nr. 368/1998) i.d.g.F.</w:t>
            </w:r>
          </w:p>
          <w:p w14:paraId="5250A132" w14:textId="30081CDB" w:rsidR="00B45E2A" w:rsidRDefault="00B45E2A" w:rsidP="00004185">
            <w:pPr>
              <w:pStyle w:val="Listenabsatz"/>
              <w:numPr>
                <w:ilvl w:val="0"/>
                <w:numId w:val="3"/>
              </w:numPr>
            </w:pPr>
            <w:r>
              <w:t>Kennzeichnungsverordnung – KennV (BGBl. II Nr. 101/1997) i.d.g.F.</w:t>
            </w:r>
          </w:p>
          <w:p w14:paraId="3D05A089" w14:textId="52382FAA" w:rsidR="00B45E2A" w:rsidRDefault="00B45E2A" w:rsidP="00004185">
            <w:pPr>
              <w:pStyle w:val="Listenabsatz"/>
              <w:numPr>
                <w:ilvl w:val="0"/>
                <w:numId w:val="3"/>
              </w:numPr>
            </w:pPr>
            <w:r>
              <w:t>Elektroschutzverordnung 20</w:t>
            </w:r>
            <w:r w:rsidR="00264A14">
              <w:t>12</w:t>
            </w:r>
            <w:r>
              <w:t xml:space="preserve"> – ESV 20</w:t>
            </w:r>
            <w:r w:rsidR="004E2CD1">
              <w:t>20</w:t>
            </w:r>
            <w:r>
              <w:t xml:space="preserve"> (BGBl. II Nr. 33/2012) i.d.g.F.</w:t>
            </w:r>
          </w:p>
          <w:p w14:paraId="270470E4" w14:textId="3CBD343C" w:rsidR="00B45E2A" w:rsidRDefault="00B45E2A" w:rsidP="00004185">
            <w:pPr>
              <w:pStyle w:val="Listenabsatz"/>
              <w:numPr>
                <w:ilvl w:val="0"/>
                <w:numId w:val="3"/>
              </w:numPr>
            </w:pPr>
            <w:r>
              <w:t>OVE E 8351:2016 Erste Hilfe bei Unfällen durch Elektrizität</w:t>
            </w:r>
          </w:p>
          <w:p w14:paraId="6B5F5162" w14:textId="1856F631" w:rsidR="00B13334" w:rsidRDefault="00B45E2A" w:rsidP="00004185">
            <w:pPr>
              <w:pStyle w:val="Listenabsatz"/>
              <w:numPr>
                <w:ilvl w:val="0"/>
                <w:numId w:val="3"/>
              </w:numPr>
            </w:pPr>
            <w:r>
              <w:t>ÖNORM EN ISO 7010:2015 Graphische Symbole – Sicherheitsfarben und Sicherheitszeichen – Registrierte Sicherheitszeichen</w:t>
            </w:r>
          </w:p>
        </w:tc>
      </w:tr>
    </w:tbl>
    <w:p w14:paraId="69E01E10" w14:textId="555BEA4E" w:rsidR="002A5EEA" w:rsidRDefault="002A5EEA" w:rsidP="00264A14"/>
    <w:p w14:paraId="42388A01" w14:textId="77777777" w:rsidR="002A5EEA" w:rsidRDefault="002A5EEA" w:rsidP="00264A14">
      <w:r>
        <w:br w:type="page"/>
      </w:r>
      <w:bookmarkStart w:id="15" w:name="_GoBack"/>
      <w:bookmarkEnd w:id="15"/>
    </w:p>
    <w:p w14:paraId="0238AB5A" w14:textId="6E9FD9AA" w:rsidR="00F430F0" w:rsidRDefault="00F430F0" w:rsidP="00264A14">
      <w:pPr>
        <w:pStyle w:val="berschrift1"/>
      </w:pPr>
      <w:bookmarkStart w:id="16" w:name="_Toc54433080"/>
      <w:bookmarkStart w:id="17" w:name="_Toc54440143"/>
      <w:bookmarkStart w:id="18" w:name="_Toc54595561"/>
      <w:r>
        <w:lastRenderedPageBreak/>
        <w:t>Stoffdaten</w:t>
      </w:r>
      <w:bookmarkEnd w:id="16"/>
      <w:bookmarkEnd w:id="17"/>
      <w:bookmarkEnd w:id="18"/>
    </w:p>
    <w:tbl>
      <w:tblPr>
        <w:tblStyle w:val="Tabellenraster"/>
        <w:tblW w:w="9493" w:type="dxa"/>
        <w:tblLook w:val="01E0" w:firstRow="1" w:lastRow="1" w:firstColumn="1" w:lastColumn="1" w:noHBand="0" w:noVBand="0"/>
      </w:tblPr>
      <w:tblGrid>
        <w:gridCol w:w="3823"/>
        <w:gridCol w:w="992"/>
        <w:gridCol w:w="2268"/>
        <w:gridCol w:w="2410"/>
      </w:tblGrid>
      <w:tr w:rsidR="00F430F0" w14:paraId="50A95815" w14:textId="77777777" w:rsidTr="00F430F0">
        <w:tc>
          <w:tcPr>
            <w:tcW w:w="3823" w:type="dxa"/>
          </w:tcPr>
          <w:p w14:paraId="521611AD" w14:textId="77777777" w:rsidR="00F430F0" w:rsidRDefault="00F430F0" w:rsidP="00264A14">
            <w:r>
              <w:t>Kennzeichnung</w:t>
            </w:r>
          </w:p>
          <w:p w14:paraId="531259BC" w14:textId="3410DB6A" w:rsidR="00F430F0" w:rsidRPr="00F430F0" w:rsidRDefault="00F430F0" w:rsidP="00264A14">
            <w:r w:rsidRPr="00F430F0">
              <w:t>Wasserstoff</w:t>
            </w:r>
          </w:p>
        </w:tc>
        <w:tc>
          <w:tcPr>
            <w:tcW w:w="992" w:type="dxa"/>
          </w:tcPr>
          <w:p w14:paraId="02096A6D" w14:textId="77777777" w:rsidR="00F430F0" w:rsidRDefault="00F430F0" w:rsidP="00264A14"/>
        </w:tc>
        <w:tc>
          <w:tcPr>
            <w:tcW w:w="2268" w:type="dxa"/>
          </w:tcPr>
          <w:p w14:paraId="3E449C02" w14:textId="77777777" w:rsidR="00F430F0" w:rsidRDefault="00F430F0" w:rsidP="00264A14">
            <w:r>
              <w:rPr>
                <w:noProof/>
                <w:lang w:val="de-AT" w:eastAsia="de-AT"/>
              </w:rPr>
              <w:drawing>
                <wp:inline distT="0" distB="0" distL="0" distR="0" wp14:anchorId="3660A8A3" wp14:editId="588F356B">
                  <wp:extent cx="360000" cy="360000"/>
                  <wp:effectExtent l="0" t="0" r="2540" b="2540"/>
                  <wp:docPr id="17" name="Grafik 17" title="Piktogramm 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Zeichnung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2410" w:type="dxa"/>
          </w:tcPr>
          <w:p w14:paraId="6921CC59" w14:textId="77777777" w:rsidR="00F430F0" w:rsidRDefault="00F430F0" w:rsidP="00264A14">
            <w:r>
              <w:t>Einheit</w:t>
            </w:r>
          </w:p>
        </w:tc>
      </w:tr>
      <w:tr w:rsidR="00F430F0" w14:paraId="477357DD" w14:textId="77777777" w:rsidTr="00F430F0">
        <w:tc>
          <w:tcPr>
            <w:tcW w:w="3823" w:type="dxa"/>
          </w:tcPr>
          <w:p w14:paraId="0BA51119" w14:textId="77777777" w:rsidR="00F430F0" w:rsidRDefault="00F430F0" w:rsidP="00264A14">
            <w:r>
              <w:t xml:space="preserve">Untere </w:t>
            </w:r>
            <w:r w:rsidRPr="004A48F8">
              <w:t>Explosionsgrenz</w:t>
            </w:r>
            <w:r>
              <w:t xml:space="preserve">e </w:t>
            </w:r>
          </w:p>
        </w:tc>
        <w:tc>
          <w:tcPr>
            <w:tcW w:w="992" w:type="dxa"/>
          </w:tcPr>
          <w:p w14:paraId="568D9C09" w14:textId="77777777" w:rsidR="00F430F0" w:rsidRDefault="00F430F0" w:rsidP="00264A14">
            <w:r>
              <w:t>UEG</w:t>
            </w:r>
            <w:r w:rsidRPr="00052B8D">
              <w:rPr>
                <w:vertAlign w:val="subscript"/>
              </w:rPr>
              <w:t>Vol</w:t>
            </w:r>
          </w:p>
        </w:tc>
        <w:tc>
          <w:tcPr>
            <w:tcW w:w="2268" w:type="dxa"/>
          </w:tcPr>
          <w:p w14:paraId="11A7E8B4" w14:textId="1F36532C" w:rsidR="00F430F0" w:rsidRDefault="00F430F0" w:rsidP="00264A14">
            <w:r>
              <w:t>4,0</w:t>
            </w:r>
          </w:p>
        </w:tc>
        <w:tc>
          <w:tcPr>
            <w:tcW w:w="2410" w:type="dxa"/>
          </w:tcPr>
          <w:p w14:paraId="7196F64A" w14:textId="77777777" w:rsidR="00F430F0" w:rsidRDefault="00F430F0" w:rsidP="00264A14">
            <w:r>
              <w:t>Vol.-%</w:t>
            </w:r>
          </w:p>
        </w:tc>
      </w:tr>
      <w:tr w:rsidR="00F430F0" w14:paraId="33094C1A" w14:textId="77777777" w:rsidTr="00F430F0">
        <w:tc>
          <w:tcPr>
            <w:tcW w:w="3823" w:type="dxa"/>
          </w:tcPr>
          <w:p w14:paraId="2EFE912D" w14:textId="77777777" w:rsidR="00F430F0" w:rsidRDefault="00F430F0" w:rsidP="00264A14">
            <w:r>
              <w:t xml:space="preserve">Untere </w:t>
            </w:r>
            <w:r w:rsidRPr="004A48F8">
              <w:t>Explosionsgrenz</w:t>
            </w:r>
            <w:r>
              <w:t xml:space="preserve">e </w:t>
            </w:r>
          </w:p>
        </w:tc>
        <w:tc>
          <w:tcPr>
            <w:tcW w:w="992" w:type="dxa"/>
          </w:tcPr>
          <w:p w14:paraId="771447A8" w14:textId="77777777" w:rsidR="00F430F0" w:rsidRDefault="00F430F0" w:rsidP="00264A14">
            <w:r>
              <w:t>UEG</w:t>
            </w:r>
            <w:r>
              <w:rPr>
                <w:vertAlign w:val="subscript"/>
              </w:rPr>
              <w:t>M</w:t>
            </w:r>
          </w:p>
        </w:tc>
        <w:tc>
          <w:tcPr>
            <w:tcW w:w="2268" w:type="dxa"/>
          </w:tcPr>
          <w:p w14:paraId="600DEFD7" w14:textId="30E3FD10" w:rsidR="00F430F0" w:rsidRDefault="00F430F0" w:rsidP="00264A14">
            <w:r>
              <w:t>3,4</w:t>
            </w:r>
          </w:p>
        </w:tc>
        <w:tc>
          <w:tcPr>
            <w:tcW w:w="2410" w:type="dxa"/>
          </w:tcPr>
          <w:p w14:paraId="11B6F608" w14:textId="77777777" w:rsidR="00F430F0" w:rsidRDefault="00F430F0" w:rsidP="00264A14">
            <w:r>
              <w:t>g/m³</w:t>
            </w:r>
          </w:p>
        </w:tc>
      </w:tr>
      <w:tr w:rsidR="00F430F0" w14:paraId="68E92718" w14:textId="77777777" w:rsidTr="00F430F0">
        <w:tc>
          <w:tcPr>
            <w:tcW w:w="3823" w:type="dxa"/>
          </w:tcPr>
          <w:p w14:paraId="06B947F5" w14:textId="77777777" w:rsidR="00F430F0" w:rsidRDefault="00F430F0" w:rsidP="00264A14">
            <w:r>
              <w:t xml:space="preserve">Obere </w:t>
            </w:r>
            <w:r w:rsidRPr="004A48F8">
              <w:t>Explosionsgrenze</w:t>
            </w:r>
            <w:r>
              <w:t xml:space="preserve"> </w:t>
            </w:r>
          </w:p>
        </w:tc>
        <w:tc>
          <w:tcPr>
            <w:tcW w:w="992" w:type="dxa"/>
          </w:tcPr>
          <w:p w14:paraId="0D0A3290" w14:textId="77777777" w:rsidR="00F430F0" w:rsidRDefault="00F430F0" w:rsidP="00264A14">
            <w:r>
              <w:t>OEG</w:t>
            </w:r>
            <w:r w:rsidRPr="00052B8D">
              <w:rPr>
                <w:vertAlign w:val="subscript"/>
              </w:rPr>
              <w:t>Vol</w:t>
            </w:r>
          </w:p>
        </w:tc>
        <w:tc>
          <w:tcPr>
            <w:tcW w:w="2268" w:type="dxa"/>
          </w:tcPr>
          <w:p w14:paraId="5B426666" w14:textId="2718154F" w:rsidR="00F430F0" w:rsidRDefault="00F430F0" w:rsidP="00264A14">
            <w:r>
              <w:t>77,0</w:t>
            </w:r>
          </w:p>
        </w:tc>
        <w:tc>
          <w:tcPr>
            <w:tcW w:w="2410" w:type="dxa"/>
          </w:tcPr>
          <w:p w14:paraId="1D5F37B7" w14:textId="77777777" w:rsidR="00F430F0" w:rsidRDefault="00F430F0" w:rsidP="00264A14">
            <w:r>
              <w:t>Vol.-%</w:t>
            </w:r>
          </w:p>
        </w:tc>
      </w:tr>
      <w:tr w:rsidR="00F430F0" w14:paraId="0537EC69" w14:textId="77777777" w:rsidTr="00F430F0">
        <w:tc>
          <w:tcPr>
            <w:tcW w:w="3823" w:type="dxa"/>
          </w:tcPr>
          <w:p w14:paraId="538DA5B9" w14:textId="77777777" w:rsidR="00F430F0" w:rsidRDefault="00F430F0" w:rsidP="00264A14">
            <w:r>
              <w:t xml:space="preserve">Obere </w:t>
            </w:r>
            <w:r w:rsidRPr="004A48F8">
              <w:t>Explosionsgrenze</w:t>
            </w:r>
            <w:r>
              <w:t xml:space="preserve"> </w:t>
            </w:r>
          </w:p>
        </w:tc>
        <w:tc>
          <w:tcPr>
            <w:tcW w:w="992" w:type="dxa"/>
          </w:tcPr>
          <w:p w14:paraId="7C1B9A85" w14:textId="77777777" w:rsidR="00F430F0" w:rsidRDefault="00F430F0" w:rsidP="00264A14">
            <w:r>
              <w:t>OEG</w:t>
            </w:r>
            <w:r>
              <w:rPr>
                <w:vertAlign w:val="subscript"/>
              </w:rPr>
              <w:t>M</w:t>
            </w:r>
          </w:p>
        </w:tc>
        <w:tc>
          <w:tcPr>
            <w:tcW w:w="2268" w:type="dxa"/>
          </w:tcPr>
          <w:p w14:paraId="4A03EB3C" w14:textId="26849201" w:rsidR="00F430F0" w:rsidRDefault="00F430F0" w:rsidP="00264A14">
            <w:r>
              <w:t>65</w:t>
            </w:r>
          </w:p>
        </w:tc>
        <w:tc>
          <w:tcPr>
            <w:tcW w:w="2410" w:type="dxa"/>
          </w:tcPr>
          <w:p w14:paraId="13642DA6" w14:textId="77777777" w:rsidR="00F430F0" w:rsidRDefault="00F430F0" w:rsidP="00264A14">
            <w:r>
              <w:t>g/m³</w:t>
            </w:r>
          </w:p>
        </w:tc>
      </w:tr>
      <w:tr w:rsidR="00F430F0" w14:paraId="11F5BBA2" w14:textId="77777777" w:rsidTr="00F430F0">
        <w:tc>
          <w:tcPr>
            <w:tcW w:w="3823" w:type="dxa"/>
          </w:tcPr>
          <w:p w14:paraId="4D7526F9" w14:textId="77777777" w:rsidR="00F430F0" w:rsidRPr="004A48F8" w:rsidRDefault="00F430F0" w:rsidP="00264A14">
            <w:r w:rsidRPr="004A48F8">
              <w:t>Zündtemperatur</w:t>
            </w:r>
          </w:p>
        </w:tc>
        <w:tc>
          <w:tcPr>
            <w:tcW w:w="992" w:type="dxa"/>
          </w:tcPr>
          <w:p w14:paraId="22650C74" w14:textId="77777777" w:rsidR="00F430F0" w:rsidRDefault="00F430F0" w:rsidP="00264A14">
            <w:r>
              <w:t>ZT</w:t>
            </w:r>
          </w:p>
        </w:tc>
        <w:tc>
          <w:tcPr>
            <w:tcW w:w="2268" w:type="dxa"/>
          </w:tcPr>
          <w:p w14:paraId="199B8A7F" w14:textId="2FAC725F" w:rsidR="00F430F0" w:rsidRDefault="00F430F0" w:rsidP="00264A14">
            <w:r>
              <w:t>560</w:t>
            </w:r>
          </w:p>
        </w:tc>
        <w:tc>
          <w:tcPr>
            <w:tcW w:w="2410" w:type="dxa"/>
          </w:tcPr>
          <w:p w14:paraId="7F1CE121" w14:textId="77777777" w:rsidR="00F430F0" w:rsidRDefault="00F430F0" w:rsidP="00264A14">
            <w:r>
              <w:t>°C</w:t>
            </w:r>
          </w:p>
        </w:tc>
      </w:tr>
      <w:tr w:rsidR="00F430F0" w14:paraId="67B83B13" w14:textId="77777777" w:rsidTr="00F430F0">
        <w:tc>
          <w:tcPr>
            <w:tcW w:w="3823" w:type="dxa"/>
          </w:tcPr>
          <w:p w14:paraId="1B2BE715" w14:textId="77777777" w:rsidR="00F430F0" w:rsidRPr="004A48F8" w:rsidRDefault="00F430F0" w:rsidP="00264A14">
            <w:r w:rsidRPr="004A48F8">
              <w:t>Dichte</w:t>
            </w:r>
          </w:p>
        </w:tc>
        <w:tc>
          <w:tcPr>
            <w:tcW w:w="992" w:type="dxa"/>
          </w:tcPr>
          <w:p w14:paraId="7E4CD110" w14:textId="77777777" w:rsidR="00F430F0" w:rsidRDefault="00F430F0" w:rsidP="00264A14">
            <w:r>
              <w:sym w:font="Symbol" w:char="F072"/>
            </w:r>
          </w:p>
        </w:tc>
        <w:tc>
          <w:tcPr>
            <w:tcW w:w="2268" w:type="dxa"/>
          </w:tcPr>
          <w:p w14:paraId="63FD5B1B" w14:textId="7F319D48" w:rsidR="00F430F0" w:rsidRPr="00787483" w:rsidRDefault="00F430F0" w:rsidP="00264A14">
            <w:r>
              <w:t>0,0899</w:t>
            </w:r>
          </w:p>
        </w:tc>
        <w:tc>
          <w:tcPr>
            <w:tcW w:w="2410" w:type="dxa"/>
          </w:tcPr>
          <w:p w14:paraId="099D043D" w14:textId="77777777" w:rsidR="00F430F0" w:rsidRPr="00787483" w:rsidRDefault="00F430F0" w:rsidP="00264A14">
            <w:r>
              <w:t>kg/m³</w:t>
            </w:r>
          </w:p>
        </w:tc>
      </w:tr>
      <w:tr w:rsidR="00F430F0" w14:paraId="0607ECBD" w14:textId="77777777" w:rsidTr="00F430F0">
        <w:tc>
          <w:tcPr>
            <w:tcW w:w="3823" w:type="dxa"/>
          </w:tcPr>
          <w:p w14:paraId="21BF3A78" w14:textId="77777777" w:rsidR="00F430F0" w:rsidRPr="004A48F8" w:rsidRDefault="00F430F0" w:rsidP="00264A14">
            <w:r w:rsidRPr="004A48F8">
              <w:t>Relative Dichte</w:t>
            </w:r>
            <w:r w:rsidRPr="004A48F8">
              <w:tab/>
            </w:r>
          </w:p>
        </w:tc>
        <w:tc>
          <w:tcPr>
            <w:tcW w:w="992" w:type="dxa"/>
          </w:tcPr>
          <w:p w14:paraId="4032DD05" w14:textId="77777777" w:rsidR="00F430F0" w:rsidRPr="004A48F8" w:rsidRDefault="00F430F0" w:rsidP="00264A14">
            <w:r>
              <w:t>d</w:t>
            </w:r>
          </w:p>
        </w:tc>
        <w:tc>
          <w:tcPr>
            <w:tcW w:w="2268" w:type="dxa"/>
          </w:tcPr>
          <w:p w14:paraId="7A55D0F8" w14:textId="65611A40" w:rsidR="00F430F0" w:rsidRDefault="00F430F0" w:rsidP="00264A14">
            <w:r>
              <w:t>0,0695</w:t>
            </w:r>
          </w:p>
        </w:tc>
        <w:tc>
          <w:tcPr>
            <w:tcW w:w="2410" w:type="dxa"/>
          </w:tcPr>
          <w:p w14:paraId="493EB739" w14:textId="77777777" w:rsidR="00F430F0" w:rsidRDefault="00F430F0" w:rsidP="00264A14">
            <w:r>
              <w:t>Luft = 1</w:t>
            </w:r>
          </w:p>
        </w:tc>
      </w:tr>
      <w:tr w:rsidR="00F430F0" w14:paraId="516BC78F" w14:textId="77777777" w:rsidTr="00F430F0">
        <w:tc>
          <w:tcPr>
            <w:tcW w:w="3823" w:type="dxa"/>
          </w:tcPr>
          <w:p w14:paraId="7D86084D" w14:textId="0248683E" w:rsidR="00F430F0" w:rsidRPr="004A48F8" w:rsidRDefault="00F430F0" w:rsidP="00264A14">
            <w:r w:rsidRPr="004A48F8">
              <w:t>Explosionsgruppe</w:t>
            </w:r>
          </w:p>
        </w:tc>
        <w:tc>
          <w:tcPr>
            <w:tcW w:w="992" w:type="dxa"/>
          </w:tcPr>
          <w:p w14:paraId="19F971E1" w14:textId="77777777" w:rsidR="00F430F0" w:rsidRPr="004A48F8" w:rsidRDefault="00F430F0" w:rsidP="00264A14">
            <w:r>
              <w:t>II</w:t>
            </w:r>
          </w:p>
        </w:tc>
        <w:tc>
          <w:tcPr>
            <w:tcW w:w="2268" w:type="dxa"/>
          </w:tcPr>
          <w:p w14:paraId="11927A9D" w14:textId="005DA259" w:rsidR="00F430F0" w:rsidRPr="004A48F8" w:rsidRDefault="00F430F0" w:rsidP="00264A14">
            <w:r>
              <w:t>IIC</w:t>
            </w:r>
          </w:p>
        </w:tc>
        <w:tc>
          <w:tcPr>
            <w:tcW w:w="2410" w:type="dxa"/>
          </w:tcPr>
          <w:p w14:paraId="3B76A384" w14:textId="77777777" w:rsidR="00F430F0" w:rsidRPr="004A48F8" w:rsidRDefault="00F430F0" w:rsidP="00264A14">
            <w:r>
              <w:t>----</w:t>
            </w:r>
          </w:p>
        </w:tc>
      </w:tr>
      <w:tr w:rsidR="00F430F0" w14:paraId="44047A5D" w14:textId="77777777" w:rsidTr="00F430F0">
        <w:tc>
          <w:tcPr>
            <w:tcW w:w="3823" w:type="dxa"/>
          </w:tcPr>
          <w:p w14:paraId="327F2E9F" w14:textId="4AD7CCBA" w:rsidR="00F430F0" w:rsidRPr="004A48F8" w:rsidRDefault="00F430F0" w:rsidP="00264A14">
            <w:r>
              <w:t>Grenzspaltweite</w:t>
            </w:r>
          </w:p>
        </w:tc>
        <w:tc>
          <w:tcPr>
            <w:tcW w:w="992" w:type="dxa"/>
          </w:tcPr>
          <w:p w14:paraId="542C6267" w14:textId="77777777" w:rsidR="00F430F0" w:rsidRPr="004A48F8" w:rsidRDefault="00F430F0" w:rsidP="00264A14">
            <w:r>
              <w:t>T</w:t>
            </w:r>
          </w:p>
        </w:tc>
        <w:tc>
          <w:tcPr>
            <w:tcW w:w="2268" w:type="dxa"/>
          </w:tcPr>
          <w:p w14:paraId="45C7DEB0" w14:textId="4A356311" w:rsidR="00F430F0" w:rsidRPr="004A48F8" w:rsidRDefault="00F430F0" w:rsidP="00264A14">
            <w:r>
              <w:t>0,29</w:t>
            </w:r>
          </w:p>
        </w:tc>
        <w:tc>
          <w:tcPr>
            <w:tcW w:w="2410" w:type="dxa"/>
          </w:tcPr>
          <w:p w14:paraId="1FB6D48A" w14:textId="77777777" w:rsidR="00F430F0" w:rsidRPr="004A48F8" w:rsidRDefault="00F430F0" w:rsidP="00264A14">
            <w:r>
              <w:t>----</w:t>
            </w:r>
          </w:p>
        </w:tc>
      </w:tr>
      <w:tr w:rsidR="00F430F0" w14:paraId="4A82A088" w14:textId="77777777" w:rsidTr="00F430F0">
        <w:tc>
          <w:tcPr>
            <w:tcW w:w="3823" w:type="dxa"/>
          </w:tcPr>
          <w:p w14:paraId="2ED3932A" w14:textId="77777777" w:rsidR="00F430F0" w:rsidRPr="004A48F8" w:rsidRDefault="00F430F0" w:rsidP="00264A14">
            <w:r w:rsidRPr="004A48F8">
              <w:t>Temperaturklasse</w:t>
            </w:r>
          </w:p>
        </w:tc>
        <w:tc>
          <w:tcPr>
            <w:tcW w:w="992" w:type="dxa"/>
          </w:tcPr>
          <w:p w14:paraId="05C18069" w14:textId="77777777" w:rsidR="00F430F0" w:rsidRPr="004A48F8" w:rsidRDefault="00F430F0" w:rsidP="00264A14">
            <w:r>
              <w:t>T</w:t>
            </w:r>
          </w:p>
        </w:tc>
        <w:tc>
          <w:tcPr>
            <w:tcW w:w="2268" w:type="dxa"/>
          </w:tcPr>
          <w:p w14:paraId="6B6800ED" w14:textId="41977E7A" w:rsidR="00F430F0" w:rsidRPr="004A48F8" w:rsidRDefault="00F430F0" w:rsidP="00264A14">
            <w:r>
              <w:t>T1</w:t>
            </w:r>
          </w:p>
        </w:tc>
        <w:tc>
          <w:tcPr>
            <w:tcW w:w="2410" w:type="dxa"/>
          </w:tcPr>
          <w:p w14:paraId="0FF87A90" w14:textId="77777777" w:rsidR="00F430F0" w:rsidRPr="004A48F8" w:rsidRDefault="00F430F0" w:rsidP="00264A14">
            <w:r>
              <w:t>----</w:t>
            </w:r>
          </w:p>
        </w:tc>
      </w:tr>
    </w:tbl>
    <w:p w14:paraId="3E5C7CC0" w14:textId="3F3521DA" w:rsidR="00F430F0" w:rsidRPr="00EE1087" w:rsidRDefault="00F430F0" w:rsidP="00264A14">
      <w:pPr>
        <w:pStyle w:val="berschrift1"/>
      </w:pPr>
      <w:bookmarkStart w:id="19" w:name="_Toc48488760"/>
      <w:bookmarkStart w:id="20" w:name="_Toc54433081"/>
      <w:bookmarkStart w:id="21" w:name="_Toc54440144"/>
      <w:bookmarkStart w:id="22" w:name="_Toc54595562"/>
      <w:r w:rsidRPr="00EE1087">
        <w:t>Ermittlung und Beurteilung</w:t>
      </w:r>
      <w:bookmarkEnd w:id="19"/>
      <w:r w:rsidRPr="00EE1087">
        <w:t xml:space="preserve"> der Explosionsgefahren</w:t>
      </w:r>
      <w:bookmarkEnd w:id="20"/>
      <w:bookmarkEnd w:id="21"/>
      <w:bookmarkEnd w:id="22"/>
    </w:p>
    <w:p w14:paraId="3911ECC8" w14:textId="329500C5" w:rsidR="00855044" w:rsidRPr="00EE1087" w:rsidRDefault="00855044" w:rsidP="00264A14">
      <w:pPr>
        <w:pStyle w:val="berschrift2"/>
      </w:pPr>
      <w:bookmarkStart w:id="23" w:name="_Toc54433082"/>
      <w:bookmarkStart w:id="24" w:name="_Toc54440145"/>
      <w:bookmarkStart w:id="25" w:name="_Toc54595563"/>
      <w:r w:rsidRPr="00EE1087">
        <w:t>Fragestellungen</w:t>
      </w:r>
      <w:bookmarkEnd w:id="23"/>
      <w:bookmarkEnd w:id="24"/>
      <w:bookmarkEnd w:id="25"/>
    </w:p>
    <w:p w14:paraId="7D2AB6AD" w14:textId="79FEA521" w:rsidR="00F430F0" w:rsidRDefault="00F430F0" w:rsidP="00264A14">
      <w:r>
        <w:t>Nachfolgende Fragen sind wie folgt textlich zu beantworten:</w:t>
      </w:r>
    </w:p>
    <w:p w14:paraId="6AAEFE63" w14:textId="77777777" w:rsidR="00F430F0" w:rsidRPr="004A334E" w:rsidRDefault="00F430F0" w:rsidP="00264A14"/>
    <w:tbl>
      <w:tblPr>
        <w:tblW w:w="95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6"/>
      </w:tblGrid>
      <w:tr w:rsidR="00F430F0" w14:paraId="43299991" w14:textId="77777777" w:rsidTr="00F430F0">
        <w:tc>
          <w:tcPr>
            <w:tcW w:w="9596" w:type="dxa"/>
          </w:tcPr>
          <w:tbl>
            <w:tblPr>
              <w:tblStyle w:val="Tabellenraster"/>
              <w:tblW w:w="8788" w:type="dxa"/>
              <w:tblInd w:w="157" w:type="dxa"/>
              <w:tblLayout w:type="fixed"/>
              <w:tblLook w:val="04A0" w:firstRow="1" w:lastRow="0" w:firstColumn="1" w:lastColumn="0" w:noHBand="0" w:noVBand="1"/>
            </w:tblPr>
            <w:tblGrid>
              <w:gridCol w:w="5103"/>
              <w:gridCol w:w="3685"/>
            </w:tblGrid>
            <w:tr w:rsidR="00F430F0" w14:paraId="07A9AB4E" w14:textId="77777777" w:rsidTr="00F430F0">
              <w:tc>
                <w:tcPr>
                  <w:tcW w:w="8788" w:type="dxa"/>
                  <w:gridSpan w:val="2"/>
                  <w:shd w:val="clear" w:color="auto" w:fill="D9D9D9" w:themeFill="background1" w:themeFillShade="D9"/>
                </w:tcPr>
                <w:p w14:paraId="5661F966" w14:textId="77777777" w:rsidR="00F430F0" w:rsidRDefault="00F430F0" w:rsidP="00264A14">
                  <w:r>
                    <w:t>Frage 1) Sind brennbare Stoffe vorhanden?</w:t>
                  </w:r>
                </w:p>
              </w:tc>
            </w:tr>
            <w:tr w:rsidR="00F430F0" w14:paraId="3F1C3F97" w14:textId="77777777" w:rsidTr="00F430F0">
              <w:tc>
                <w:tcPr>
                  <w:tcW w:w="8788" w:type="dxa"/>
                  <w:gridSpan w:val="2"/>
                </w:tcPr>
                <w:p w14:paraId="131D7C5F" w14:textId="77777777" w:rsidR="00F430F0" w:rsidRDefault="00F430F0" w:rsidP="00264A14"/>
                <w:p w14:paraId="24D3E7AD" w14:textId="1FFA2DA1" w:rsidR="00F430F0" w:rsidRPr="00F430F0" w:rsidRDefault="00F430F0" w:rsidP="00264A14">
                  <w:r w:rsidRPr="00F430F0">
                    <w:t>Während des Ladens, der Erhaltungsladung und des Überladens</w:t>
                  </w:r>
                  <w:r w:rsidR="0096180F">
                    <w:t>,</w:t>
                  </w:r>
                  <w:r w:rsidRPr="00F430F0">
                    <w:t xml:space="preserve"> werden Gase aus allen Sekundär-Zellen</w:t>
                  </w:r>
                  <w:r>
                    <w:t xml:space="preserve"> </w:t>
                  </w:r>
                  <w:r w:rsidRPr="00F430F0">
                    <w:t>und -batterien, mit Ausnahme der gasdichten (Sekundär-)Zellen, freigesetzt. Dies rührt her von der</w:t>
                  </w:r>
                  <w:r>
                    <w:t xml:space="preserve"> </w:t>
                  </w:r>
                  <w:r w:rsidRPr="00F430F0">
                    <w:t>Elektrolyse des Wassers durch den Überladestrom. Die produzierten Gase sind Wasserstoff und Sauerstoff.</w:t>
                  </w:r>
                </w:p>
                <w:p w14:paraId="6D39025B" w14:textId="23A99138" w:rsidR="00F430F0" w:rsidRPr="00A1029B" w:rsidRDefault="00F430F0" w:rsidP="00264A14">
                  <w:r w:rsidRPr="00F430F0">
                    <w:t>Bei Freisetzung in die Umgebungsatmosphäre kann eine explosive Mischung entstehen, wenn die Wasserstoffkonzentration</w:t>
                  </w:r>
                  <w:r>
                    <w:t xml:space="preserve"> </w:t>
                  </w:r>
                  <w:r w:rsidR="0096180F">
                    <w:t xml:space="preserve">4 % Volumenanteil </w:t>
                  </w:r>
                  <w:r w:rsidRPr="00F430F0">
                    <w:t xml:space="preserve">in </w:t>
                  </w:r>
                  <w:r w:rsidR="0096180F">
                    <w:t xml:space="preserve">der </w:t>
                  </w:r>
                  <w:r w:rsidRPr="00F430F0">
                    <w:t>Luft übersteigt.</w:t>
                  </w:r>
                </w:p>
              </w:tc>
            </w:tr>
            <w:tr w:rsidR="00F430F0" w14:paraId="230850A6" w14:textId="77777777" w:rsidTr="00F430F0">
              <w:tc>
                <w:tcPr>
                  <w:tcW w:w="8788" w:type="dxa"/>
                  <w:gridSpan w:val="2"/>
                  <w:shd w:val="clear" w:color="auto" w:fill="D9D9D9" w:themeFill="background1" w:themeFillShade="D9"/>
                </w:tcPr>
                <w:p w14:paraId="39C0584D" w14:textId="77777777" w:rsidR="00F430F0" w:rsidRDefault="00F430F0" w:rsidP="00264A14">
                  <w:r>
                    <w:t>Frage 2) Kann durch ausreichende Verteilung in der Luft explosionsfähige Atmosphäre entstehen?</w:t>
                  </w:r>
                </w:p>
              </w:tc>
            </w:tr>
            <w:tr w:rsidR="00F430F0" w14:paraId="0E16D874" w14:textId="77777777" w:rsidTr="00F430F0">
              <w:tc>
                <w:tcPr>
                  <w:tcW w:w="8788" w:type="dxa"/>
                  <w:gridSpan w:val="2"/>
                </w:tcPr>
                <w:p w14:paraId="407B6317" w14:textId="58953D0D" w:rsidR="00F430F0" w:rsidRDefault="00F430F0" w:rsidP="00264A14"/>
                <w:p w14:paraId="0E518962" w14:textId="7B647CAE" w:rsidR="00546E43" w:rsidRDefault="00546E43" w:rsidP="00264A14">
                  <w:r>
                    <w:t>Erreicht eine Zelle ihren Vollladezustand, findet eine Wasserelektrolyse nach dem Faraday’schen Gesetz</w:t>
                  </w:r>
                  <w:r w:rsidR="00150088">
                    <w:t xml:space="preserve"> </w:t>
                  </w:r>
                  <w:r>
                    <w:t>statt. Unter Normalbedingungen, d. h. bei 0 °C und 1 013 hPa (Standardtemperatur und -druck nach der</w:t>
                  </w:r>
                  <w:r w:rsidR="00150088">
                    <w:t xml:space="preserve"> </w:t>
                  </w:r>
                  <w:r>
                    <w:t>Internationalen Union für reine und angewandte Chemie (IUPAC)):</w:t>
                  </w:r>
                </w:p>
                <w:p w14:paraId="69102035" w14:textId="77777777" w:rsidR="00546E43" w:rsidRDefault="00546E43" w:rsidP="00264A14">
                  <w:r>
                    <w:t>– zersetzt 1 Ah 0,336 g H</w:t>
                  </w:r>
                  <w:r>
                    <w:rPr>
                      <w:sz w:val="16"/>
                      <w:szCs w:val="16"/>
                    </w:rPr>
                    <w:t>2</w:t>
                  </w:r>
                  <w:r>
                    <w:t>O in 0,42 l H</w:t>
                  </w:r>
                  <w:r>
                    <w:rPr>
                      <w:sz w:val="16"/>
                      <w:szCs w:val="16"/>
                    </w:rPr>
                    <w:t xml:space="preserve">2 </w:t>
                  </w:r>
                  <w:r>
                    <w:t>+ 0,21 l O</w:t>
                  </w:r>
                  <w:r>
                    <w:rPr>
                      <w:sz w:val="16"/>
                      <w:szCs w:val="16"/>
                    </w:rPr>
                    <w:t>2</w:t>
                  </w:r>
                  <w:r>
                    <w:t>;</w:t>
                  </w:r>
                </w:p>
                <w:p w14:paraId="2AB08685" w14:textId="77777777" w:rsidR="00546E43" w:rsidRDefault="00546E43" w:rsidP="00264A14">
                  <w:r>
                    <w:t>– zersetzen 3 Ah 1 cm</w:t>
                  </w:r>
                  <w:r>
                    <w:rPr>
                      <w:sz w:val="16"/>
                      <w:szCs w:val="16"/>
                    </w:rPr>
                    <w:t xml:space="preserve">3 </w:t>
                  </w:r>
                  <w:r>
                    <w:t>(1 g) H</w:t>
                  </w:r>
                  <w:r>
                    <w:rPr>
                      <w:sz w:val="16"/>
                      <w:szCs w:val="16"/>
                    </w:rPr>
                    <w:t>2</w:t>
                  </w:r>
                  <w:r>
                    <w:t>O;</w:t>
                  </w:r>
                </w:p>
                <w:p w14:paraId="5BA4C6FE" w14:textId="77777777" w:rsidR="00546E43" w:rsidRDefault="00150088" w:rsidP="00264A14">
                  <w:r>
                    <w:t>Wenn das Ladegerät abgeschaltet wird, lässt der Austritt von Gasen erst nach 1 h merklich nach. Jedoch sind selbst nach dieser Zeit Sicherheitsvorkehrungen erforderlich, weil Gase, die in der Zelle festgehalten</w:t>
                  </w:r>
                  <w:r w:rsidR="0014567C">
                    <w:t xml:space="preserve"> </w:t>
                  </w:r>
                  <w:r>
                    <w:t>wurden, plötzlich freigesetzt werden können, z. B. durch Bewegen der Batterie beim Einsetzen ins Fahrzeug oder durch die Bewegung beim Betrieb des Fahrzeugs. Zusätzliche</w:t>
                  </w:r>
                  <w:r w:rsidR="0014567C">
                    <w:t xml:space="preserve"> Gase können</w:t>
                  </w:r>
                  <w:r>
                    <w:t xml:space="preserve"> auch im Betrieb, z. B. durch regeneratives Bremsen, entstehen.</w:t>
                  </w:r>
                </w:p>
                <w:p w14:paraId="6461917A" w14:textId="6758FB12" w:rsidR="00CE56A6" w:rsidRDefault="00CE56A6" w:rsidP="00264A14"/>
              </w:tc>
            </w:tr>
            <w:tr w:rsidR="00F430F0" w14:paraId="0360C383" w14:textId="77777777" w:rsidTr="00F430F0">
              <w:tc>
                <w:tcPr>
                  <w:tcW w:w="8788" w:type="dxa"/>
                  <w:gridSpan w:val="2"/>
                  <w:shd w:val="clear" w:color="auto" w:fill="D9D9D9" w:themeFill="background1" w:themeFillShade="D9"/>
                </w:tcPr>
                <w:p w14:paraId="1D7A9988" w14:textId="77777777" w:rsidR="00F430F0" w:rsidRDefault="00F430F0" w:rsidP="00264A14">
                  <w:r>
                    <w:t>Frage 3) Ist die Bildung eines explosionsgefährdeten Bereiches möglich?</w:t>
                  </w:r>
                </w:p>
              </w:tc>
            </w:tr>
            <w:tr w:rsidR="00F430F0" w14:paraId="7102425C" w14:textId="77777777" w:rsidTr="00F430F0">
              <w:tc>
                <w:tcPr>
                  <w:tcW w:w="8788" w:type="dxa"/>
                  <w:gridSpan w:val="2"/>
                </w:tcPr>
                <w:p w14:paraId="3239288C" w14:textId="26A560B6" w:rsidR="00F430F0" w:rsidRDefault="00F430F0" w:rsidP="00264A14"/>
                <w:p w14:paraId="4E9C6BCC" w14:textId="2CD4013B" w:rsidR="00150088" w:rsidRDefault="00150088" w:rsidP="00264A14">
                  <w:r>
                    <w:t>Der Grund für die Lüftung eines Batterieraums oder Batterieeinbauraums ist, die Wasserstoffkonzentration unterhalb der Schwelle von 4 % Volumenanteil zu halten. Räume für die Unterbringung von Batterien gelten nicht als explosionsgefährdet, wenn durch natürliche oder technische Lüftung die Wasserstoffkonzentration</w:t>
                  </w:r>
                  <w:r w:rsidR="0014567C">
                    <w:t xml:space="preserve"> </w:t>
                  </w:r>
                  <w:r>
                    <w:t>unterhalb dieser Sicherheitsgrenze gehalten wird.</w:t>
                  </w:r>
                </w:p>
                <w:p w14:paraId="750F0426" w14:textId="77777777" w:rsidR="00150088" w:rsidRDefault="00150088" w:rsidP="00264A14"/>
                <w:p w14:paraId="36238B2D" w14:textId="44C41C04" w:rsidR="00150088" w:rsidRDefault="00150088" w:rsidP="00264A14">
                  <w:r>
                    <w:lastRenderedPageBreak/>
                    <w:t xml:space="preserve">Der erforderliche Mindestluftvolumenstrom in einem Batterieladeraum, an einer Batterieladestelle oder in einem Batterieraum ist nach der </w:t>
                  </w:r>
                  <w:r w:rsidR="00B13334">
                    <w:t>untenstehenden</w:t>
                  </w:r>
                  <w:r>
                    <w:t xml:space="preserve"> Gleichung zu berechnen. </w:t>
                  </w:r>
                </w:p>
                <w:p w14:paraId="3BF7FCA2" w14:textId="77777777" w:rsidR="00150088" w:rsidRDefault="00150088" w:rsidP="00264A14"/>
                <w:p w14:paraId="5F836616" w14:textId="77777777" w:rsidR="00F430F0" w:rsidRDefault="00150088" w:rsidP="00264A14">
                  <w:r>
                    <w:t>VRLA-Zellen und Blockbatterien, die als Antriebsbatterien verwendet werden, beginnen ihre Lebensdauer mit einem Überschuss an Elektrolyt</w:t>
                  </w:r>
                  <w:r w:rsidR="0014567C">
                    <w:t>en</w:t>
                  </w:r>
                  <w:r>
                    <w:t xml:space="preserve"> und mit einer unvollständigen </w:t>
                  </w:r>
                  <w:r w:rsidR="0014567C">
                    <w:t>Rekombination von Sauerstoff. Sie</w:t>
                  </w:r>
                  <w:r>
                    <w:t xml:space="preserve"> produzieren somit grundsätzlich die gleiche Menge an Wasserstoff</w:t>
                  </w:r>
                  <w:r w:rsidR="0014567C">
                    <w:t>,</w:t>
                  </w:r>
                  <w:r>
                    <w:t xml:space="preserve"> wie Nasszellen oder -batterien, bis sie nach einer Reihe von Betriebszyklen einen stabilen Betriebszustand erreichen. Die damit zusammenhängende möglicherweise erforderliche erhöhte Lüftung ist vom Anwender zu berücksichtigen.</w:t>
                  </w:r>
                </w:p>
                <w:p w14:paraId="55D53FED" w14:textId="5B72D5DD" w:rsidR="00CE56A6" w:rsidRPr="00A1029B" w:rsidRDefault="00CE56A6" w:rsidP="00264A14"/>
              </w:tc>
            </w:tr>
            <w:tr w:rsidR="00F430F0" w14:paraId="0CD49550" w14:textId="77777777" w:rsidTr="00F430F0">
              <w:tc>
                <w:tcPr>
                  <w:tcW w:w="8788" w:type="dxa"/>
                  <w:gridSpan w:val="2"/>
                  <w:shd w:val="clear" w:color="auto" w:fill="D9D9D9" w:themeFill="background1" w:themeFillShade="D9"/>
                </w:tcPr>
                <w:p w14:paraId="7EB8A666" w14:textId="77777777" w:rsidR="00F430F0" w:rsidRDefault="00F430F0" w:rsidP="00264A14">
                  <w:r>
                    <w:lastRenderedPageBreak/>
                    <w:t>Frage 4) Ist die Bildung eines explosionsgefährdeten Bereiches zuverlässig verhindert?</w:t>
                  </w:r>
                </w:p>
              </w:tc>
            </w:tr>
            <w:tr w:rsidR="00F430F0" w14:paraId="086C0483" w14:textId="77777777" w:rsidTr="00F430F0">
              <w:tc>
                <w:tcPr>
                  <w:tcW w:w="8788" w:type="dxa"/>
                  <w:gridSpan w:val="2"/>
                </w:tcPr>
                <w:p w14:paraId="7137B615" w14:textId="77777777" w:rsidR="00CE56A6" w:rsidRDefault="00CE56A6" w:rsidP="00264A14"/>
                <w:p w14:paraId="12897713" w14:textId="4EF03BEC" w:rsidR="00546E43" w:rsidRDefault="00583A23" w:rsidP="00264A14">
                  <w:r>
                    <w:t xml:space="preserve">Der erforderliche Luftvolumenstrom ist vorzugsweise durch natürliche Lüftung sicherzustellen. Falls Zweifel daran bestehen, dass die natürliche Lüftung ausreicht, sollte dies durch </w:t>
                  </w:r>
                  <w:r w:rsidR="00990015">
                    <w:t xml:space="preserve">eine </w:t>
                  </w:r>
                  <w:r>
                    <w:t>Messung überprüft und die Positionen und Werte aufgezeichnet werden, um einen Vergleich mit zukünftigen Messungen zu ermöglichen. Wenn der erfo</w:t>
                  </w:r>
                  <w:r w:rsidR="00990015">
                    <w:t xml:space="preserve">rderliche Luftvolumenstrom </w:t>
                  </w:r>
                  <w:r>
                    <w:t>nicht erreicht wird, ist Zwangsbelüftung</w:t>
                  </w:r>
                  <w:r w:rsidR="00990015">
                    <w:t xml:space="preserve"> </w:t>
                  </w:r>
                  <w:r>
                    <w:t xml:space="preserve">(künstlich) einzusetzen. </w:t>
                  </w:r>
                  <w:r>
                    <w:sym w:font="Wingdings" w:char="F0E0"/>
                  </w:r>
                  <w:r>
                    <w:t xml:space="preserve"> Sieh konkrete Maßnahmen und Berechnung</w:t>
                  </w:r>
                </w:p>
                <w:p w14:paraId="4D852868" w14:textId="48C212F8" w:rsidR="00583A23" w:rsidRDefault="00583A23" w:rsidP="00264A14"/>
              </w:tc>
            </w:tr>
            <w:tr w:rsidR="00F430F0" w14:paraId="1A5A80E9" w14:textId="77777777" w:rsidTr="00F430F0">
              <w:tc>
                <w:tcPr>
                  <w:tcW w:w="8788" w:type="dxa"/>
                  <w:gridSpan w:val="2"/>
                  <w:shd w:val="clear" w:color="auto" w:fill="D9D9D9" w:themeFill="background1" w:themeFillShade="D9"/>
                </w:tcPr>
                <w:p w14:paraId="32F5CA31" w14:textId="77777777" w:rsidR="00F430F0" w:rsidRDefault="00F430F0" w:rsidP="00264A14">
                  <w:r>
                    <w:t xml:space="preserve">Frage 5) </w:t>
                  </w:r>
                  <w:r w:rsidRPr="00A1029B">
                    <w:t>Ist die Entzündung in einem explosionsgefährdeten Bereich zuverlässig verhindert?</w:t>
                  </w:r>
                </w:p>
              </w:tc>
            </w:tr>
            <w:tr w:rsidR="00DA6177" w14:paraId="148F755F" w14:textId="77777777" w:rsidTr="00583A23">
              <w:tc>
                <w:tcPr>
                  <w:tcW w:w="5103" w:type="dxa"/>
                  <w:vAlign w:val="center"/>
                </w:tcPr>
                <w:p w14:paraId="10E22470" w14:textId="77777777" w:rsidR="00DA6177" w:rsidRDefault="00DA6177" w:rsidP="00264A14">
                  <w:r>
                    <w:t xml:space="preserve">Gemäß </w:t>
                  </w:r>
                  <w:r w:rsidRPr="004A2C36">
                    <w:t xml:space="preserve">ÖVE/ÖNORM EN </w:t>
                  </w:r>
                  <w:r>
                    <w:t>62485-</w:t>
                  </w:r>
                  <w:r w:rsidR="00583A23">
                    <w:t>3</w:t>
                  </w:r>
                  <w:r w:rsidRPr="004A2C36">
                    <w:t xml:space="preserve"> ist der Sicherheitsabstand d</w:t>
                  </w:r>
                  <w:r w:rsidR="00583A23">
                    <w:t>, im Gegensatz zu stationären Batterieanlagen mit 0,5</w:t>
                  </w:r>
                  <w:r w:rsidR="00990015">
                    <w:t xml:space="preserve"> </w:t>
                  </w:r>
                  <w:r w:rsidR="00583A23">
                    <w:t>m vor</w:t>
                  </w:r>
                  <w:r w:rsidR="00990015">
                    <w:t>ge</w:t>
                  </w:r>
                  <w:r w:rsidR="00583A23">
                    <w:t>geben und muss nicht gesondert berechnet werden</w:t>
                  </w:r>
                  <w:r w:rsidR="00990015">
                    <w:t>.</w:t>
                  </w:r>
                </w:p>
                <w:p w14:paraId="253DEBB1" w14:textId="4AC55F34" w:rsidR="002C7269" w:rsidRDefault="002C7269" w:rsidP="00264A14"/>
              </w:tc>
              <w:tc>
                <w:tcPr>
                  <w:tcW w:w="3685" w:type="dxa"/>
                </w:tcPr>
                <w:p w14:paraId="1F348BDC" w14:textId="77777777" w:rsidR="00DA6177" w:rsidRDefault="00B30342" w:rsidP="00264A14">
                  <w:pPr>
                    <w:rPr>
                      <w:noProof/>
                      <w:lang w:val="de-AT" w:eastAsia="de-AT"/>
                    </w:rPr>
                  </w:pPr>
                  <w:r>
                    <w:rPr>
                      <w:noProof/>
                      <w:lang w:val="de-AT" w:eastAsia="de-AT"/>
                    </w:rPr>
                    <w:drawing>
                      <wp:inline distT="0" distB="0" distL="0" distR="0" wp14:anchorId="5AD0DCF8" wp14:editId="696CBC10">
                        <wp:extent cx="2019300" cy="1463978"/>
                        <wp:effectExtent l="0" t="0" r="0" b="3175"/>
                        <wp:docPr id="4" name="Grafik 4" descr="an der Oberseite eine halbkugelförmige Sicherheitszone mit dem Abstand 0,5 m" title="Batt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1437" cy="1465527"/>
                                </a:xfrm>
                                <a:prstGeom prst="rect">
                                  <a:avLst/>
                                </a:prstGeom>
                              </pic:spPr>
                            </pic:pic>
                          </a:graphicData>
                        </a:graphic>
                      </wp:inline>
                    </w:drawing>
                  </w:r>
                </w:p>
                <w:p w14:paraId="53879C99" w14:textId="1A437339" w:rsidR="002C7269" w:rsidRDefault="001E7A16" w:rsidP="00264A14">
                  <w:pPr>
                    <w:rPr>
                      <w:noProof/>
                      <w:lang w:val="de-AT" w:eastAsia="de-AT"/>
                    </w:rPr>
                  </w:pPr>
                  <w:r>
                    <w:t>© Grafikstudio F. Hutter</w:t>
                  </w:r>
                </w:p>
              </w:tc>
            </w:tr>
            <w:tr w:rsidR="00DA6177" w14:paraId="44EFEB1D" w14:textId="77777777" w:rsidTr="00150088">
              <w:tc>
                <w:tcPr>
                  <w:tcW w:w="8788" w:type="dxa"/>
                  <w:gridSpan w:val="2"/>
                </w:tcPr>
                <w:p w14:paraId="2AA758F9" w14:textId="3D247CA6" w:rsidR="00DA6177" w:rsidRPr="004A2C36" w:rsidRDefault="00DA6177" w:rsidP="00264A14">
                  <w:r w:rsidRPr="004A2C36">
                    <w:t xml:space="preserve">Innerhalb dieses Sicherheitsabstandes sind die </w:t>
                  </w:r>
                  <w:r w:rsidR="00990015" w:rsidRPr="004A2C36">
                    <w:t>Bedi</w:t>
                  </w:r>
                  <w:r w:rsidR="00990015">
                    <w:t>n</w:t>
                  </w:r>
                  <w:r w:rsidR="00990015" w:rsidRPr="004A2C36">
                    <w:t>gungen</w:t>
                  </w:r>
                  <w:r w:rsidRPr="004A2C36">
                    <w:t xml:space="preserve"> über der Batterie wie in einer Zone 1 vorzusehen</w:t>
                  </w:r>
                  <w:r>
                    <w:t xml:space="preserve">, die Norm definiert aber keine </w:t>
                  </w:r>
                  <w:r w:rsidR="00990015">
                    <w:t>Zone,</w:t>
                  </w:r>
                  <w:r>
                    <w:t xml:space="preserve"> sondern einen Sicherheitsabstand.</w:t>
                  </w:r>
                  <w:r w:rsidR="00583A23">
                    <w:t xml:space="preserve"> </w:t>
                  </w:r>
                  <w:r w:rsidRPr="004A2C36">
                    <w:t>Der Sicherheitsabstand d ist als Radius einer halbkugelförmigen Zone um die Auslassöffnung anzusehen.</w:t>
                  </w:r>
                </w:p>
                <w:p w14:paraId="108B23FA" w14:textId="42DCC86E" w:rsidR="00DA6177" w:rsidRDefault="00583A23" w:rsidP="00264A14">
                  <w:r>
                    <w:t>Im Nahbereich einer Batterie ist die Verdünnung der explosiven Gase nicht immer sichergestellt. Deshalb ist ein Sicherheitsabstand von mindestens 0,5 m Luftstrecke zu beachten, innerhalb dessen keine offenen Flammen, elektrostatische Entladung, Funken, Lichtbögen oder glühende Körper (max. Oberflächentemperatur</w:t>
                  </w:r>
                  <w:r w:rsidR="00990015">
                    <w:t xml:space="preserve"> </w:t>
                  </w:r>
                  <w:r>
                    <w:t>300 °C) auftreten dürfen.</w:t>
                  </w:r>
                </w:p>
              </w:tc>
            </w:tr>
            <w:tr w:rsidR="00F430F0" w14:paraId="113DBD3A" w14:textId="77777777" w:rsidTr="00F430F0">
              <w:tc>
                <w:tcPr>
                  <w:tcW w:w="8788" w:type="dxa"/>
                  <w:gridSpan w:val="2"/>
                  <w:shd w:val="clear" w:color="auto" w:fill="D9D9D9" w:themeFill="background1" w:themeFillShade="D9"/>
                </w:tcPr>
                <w:p w14:paraId="431B8157" w14:textId="3853D7B7" w:rsidR="00F430F0" w:rsidRPr="00A1029B" w:rsidRDefault="00F430F0" w:rsidP="009A3FB9">
                  <w:r>
                    <w:t>Frage</w:t>
                  </w:r>
                  <w:r w:rsidR="009A3FB9">
                    <w:t xml:space="preserve"> 6</w:t>
                  </w:r>
                  <w:r>
                    <w:t>) Sind zusätzliche konstruktive Schutzmaßnahmen notwendig</w:t>
                  </w:r>
                  <w:r w:rsidRPr="00A1029B">
                    <w:t>?</w:t>
                  </w:r>
                </w:p>
              </w:tc>
            </w:tr>
            <w:tr w:rsidR="00F430F0" w14:paraId="52DF951B" w14:textId="77777777" w:rsidTr="00F430F0">
              <w:tc>
                <w:tcPr>
                  <w:tcW w:w="8788" w:type="dxa"/>
                  <w:gridSpan w:val="2"/>
                </w:tcPr>
                <w:p w14:paraId="3F9F0715" w14:textId="3CD23D9C" w:rsidR="00F430F0" w:rsidRDefault="00546E43" w:rsidP="00264A14">
                  <w:r>
                    <w:t>keine</w:t>
                  </w:r>
                </w:p>
              </w:tc>
            </w:tr>
          </w:tbl>
          <w:p w14:paraId="66681CE6" w14:textId="77777777" w:rsidR="00F430F0" w:rsidRDefault="00F430F0" w:rsidP="00264A14"/>
        </w:tc>
      </w:tr>
    </w:tbl>
    <w:p w14:paraId="2DF52CBD" w14:textId="23ECF8AF" w:rsidR="00F17CA2" w:rsidRDefault="00F17CA2" w:rsidP="00264A14"/>
    <w:p w14:paraId="550D0E6A" w14:textId="77777777" w:rsidR="00F17CA2" w:rsidRDefault="00F17CA2">
      <w:r>
        <w:br w:type="page"/>
      </w:r>
    </w:p>
    <w:p w14:paraId="44023661" w14:textId="77777777" w:rsidR="00F430F0" w:rsidRDefault="00F430F0" w:rsidP="00264A14"/>
    <w:p w14:paraId="31C21911" w14:textId="7BC49280" w:rsidR="00F430F0" w:rsidRDefault="00F430F0" w:rsidP="00264A14">
      <w:pPr>
        <w:pStyle w:val="berschrift2"/>
      </w:pPr>
      <w:bookmarkStart w:id="26" w:name="_Toc52121011"/>
      <w:bookmarkStart w:id="27" w:name="_Toc54433083"/>
      <w:bookmarkStart w:id="28" w:name="_Toc54440146"/>
      <w:bookmarkStart w:id="29" w:name="_Toc54595564"/>
      <w:r w:rsidRPr="00855044">
        <w:t>Evaluierung der Explosionsgefahr</w:t>
      </w:r>
      <w:bookmarkEnd w:id="26"/>
      <w:bookmarkEnd w:id="27"/>
      <w:bookmarkEnd w:id="28"/>
      <w:bookmarkEnd w:id="29"/>
      <w:r w:rsidRPr="00855044">
        <w:t xml:space="preserve"> </w:t>
      </w:r>
    </w:p>
    <w:p w14:paraId="4ABE5F5B" w14:textId="77777777" w:rsidR="00543116" w:rsidRDefault="00543116" w:rsidP="00264A14"/>
    <w:p w14:paraId="54D08E5E" w14:textId="77777777" w:rsidR="00543116" w:rsidRPr="002A73A1" w:rsidRDefault="00543116" w:rsidP="00543116"/>
    <w:tbl>
      <w:tblPr>
        <w:tblStyle w:val="Tabellenraster"/>
        <w:tblW w:w="9800" w:type="dxa"/>
        <w:tblInd w:w="108" w:type="dxa"/>
        <w:tblLayout w:type="fixed"/>
        <w:tblCellMar>
          <w:top w:w="28" w:type="dxa"/>
          <w:bottom w:w="28" w:type="dxa"/>
        </w:tblCellMar>
        <w:tblLook w:val="04A0" w:firstRow="1" w:lastRow="0" w:firstColumn="1" w:lastColumn="0" w:noHBand="0" w:noVBand="1"/>
      </w:tblPr>
      <w:tblGrid>
        <w:gridCol w:w="2039"/>
        <w:gridCol w:w="1257"/>
        <w:gridCol w:w="896"/>
        <w:gridCol w:w="930"/>
        <w:gridCol w:w="992"/>
        <w:gridCol w:w="2410"/>
        <w:gridCol w:w="1276"/>
      </w:tblGrid>
      <w:tr w:rsidR="00543116" w:rsidRPr="0051732C" w14:paraId="7A43DBF4" w14:textId="77777777" w:rsidTr="004B564D">
        <w:trPr>
          <w:trHeight w:val="18"/>
        </w:trPr>
        <w:tc>
          <w:tcPr>
            <w:tcW w:w="9800" w:type="dxa"/>
            <w:gridSpan w:val="7"/>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14:paraId="5FF2A229" w14:textId="77777777" w:rsidR="00543116" w:rsidRPr="0051732C" w:rsidRDefault="00543116" w:rsidP="004B564D">
            <w:r>
              <w:t>Wann ist</w:t>
            </w:r>
            <w:r w:rsidRPr="0051732C">
              <w:t xml:space="preserve"> die Entstehung gefährlicher explosionsfähiger Atmosphären gegeben?</w:t>
            </w:r>
          </w:p>
        </w:tc>
      </w:tr>
      <w:tr w:rsidR="00DE280D" w:rsidRPr="0051732C" w14:paraId="4D1669C6" w14:textId="77777777" w:rsidTr="004B564D">
        <w:trPr>
          <w:cantSplit/>
          <w:trHeight w:val="2158"/>
        </w:trPr>
        <w:tc>
          <w:tcPr>
            <w:tcW w:w="2039" w:type="dxa"/>
            <w:tcBorders>
              <w:left w:val="single" w:sz="12" w:space="0" w:color="auto"/>
              <w:bottom w:val="single" w:sz="12" w:space="0" w:color="auto"/>
              <w:right w:val="single" w:sz="12" w:space="0" w:color="auto"/>
            </w:tcBorders>
            <w:shd w:val="clear" w:color="auto" w:fill="auto"/>
            <w:vAlign w:val="center"/>
          </w:tcPr>
          <w:p w14:paraId="2ACE7D02" w14:textId="78B39DDA" w:rsidR="00DE280D" w:rsidRPr="004A334E" w:rsidRDefault="00DE280D" w:rsidP="004B564D">
            <w:r>
              <w:t>Wie erfolgt eine Risikominimierung durch die Anwendung der Schutzmaßnahmen?</w:t>
            </w:r>
          </w:p>
        </w:tc>
        <w:tc>
          <w:tcPr>
            <w:tcW w:w="1257" w:type="dxa"/>
            <w:tcBorders>
              <w:left w:val="single" w:sz="12" w:space="0" w:color="auto"/>
              <w:bottom w:val="single" w:sz="12" w:space="0" w:color="auto"/>
              <w:right w:val="single" w:sz="12" w:space="0" w:color="auto"/>
            </w:tcBorders>
            <w:shd w:val="clear" w:color="auto" w:fill="auto"/>
            <w:vAlign w:val="center"/>
          </w:tcPr>
          <w:p w14:paraId="2FE976F1" w14:textId="77777777" w:rsidR="00DE280D" w:rsidRDefault="00DE280D" w:rsidP="004B564D">
            <w:r>
              <w:t xml:space="preserve">Beurteilung </w:t>
            </w:r>
          </w:p>
          <w:p w14:paraId="4E9E8FA4" w14:textId="2A84B8EB" w:rsidR="00DE280D" w:rsidRPr="004A334E" w:rsidRDefault="00DE280D" w:rsidP="004B564D">
            <w:r>
              <w:t>ohne Schutz-maßnahme</w:t>
            </w:r>
          </w:p>
        </w:tc>
        <w:tc>
          <w:tcPr>
            <w:tcW w:w="89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3F95F38" w14:textId="4C3917C6" w:rsidR="00DE280D" w:rsidRPr="000E1B62" w:rsidRDefault="00DE280D" w:rsidP="004B564D">
            <w:r w:rsidRPr="000E1B62">
              <w:t>Primäre</w:t>
            </w:r>
            <w:r>
              <w:t xml:space="preserve"> </w:t>
            </w:r>
            <w:r w:rsidR="00AD6612">
              <w:t>Schutzmaßnahmen</w:t>
            </w:r>
            <w:r>
              <w:t xml:space="preserve"> nach der Anwendung</w:t>
            </w:r>
          </w:p>
        </w:tc>
        <w:tc>
          <w:tcPr>
            <w:tcW w:w="930"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00C6BC9E" w14:textId="6F534608" w:rsidR="00DE280D" w:rsidRPr="000E1B62" w:rsidRDefault="00DE280D" w:rsidP="004B564D">
            <w:r w:rsidRPr="000E1B62">
              <w:t>Sekundäre</w:t>
            </w:r>
            <w:r w:rsidR="00AD6612">
              <w:t xml:space="preserve"> Schutzmaßnahmen nach der Anwendung</w:t>
            </w:r>
          </w:p>
        </w:tc>
        <w:tc>
          <w:tcPr>
            <w:tcW w:w="992"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633EA1A2" w14:textId="2D921990" w:rsidR="00DE280D" w:rsidRPr="000E1B62" w:rsidRDefault="00DE280D" w:rsidP="004B564D">
            <w:r w:rsidRPr="000E1B62">
              <w:t>Konstrukti</w:t>
            </w:r>
            <w:r>
              <w:t>v</w:t>
            </w:r>
            <w:r w:rsidR="00AD6612">
              <w:t xml:space="preserve"> Schutzmaßnahmen nach der Anwendung</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43D1F470" w14:textId="36E39551" w:rsidR="00DE280D" w:rsidRPr="004A334E" w:rsidRDefault="00DE280D" w:rsidP="004B564D">
            <w:r>
              <w:t>Erläuterungen</w:t>
            </w:r>
          </w:p>
          <w:p w14:paraId="74CBB272" w14:textId="689B3EE2" w:rsidR="00DE280D" w:rsidRPr="004A334E" w:rsidRDefault="00DE280D" w:rsidP="004B564D">
            <w:r w:rsidRPr="005F054C">
              <w:t>Absaugung</w:t>
            </w:r>
            <w:r>
              <w:t xml:space="preserve"> Lüftungsüberwachung</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0F5D3689" w14:textId="77777777" w:rsidR="00DE280D" w:rsidRDefault="00DE280D" w:rsidP="004B564D">
            <w:r>
              <w:t xml:space="preserve">Beurteilung </w:t>
            </w:r>
          </w:p>
          <w:p w14:paraId="4589A89D" w14:textId="0601E829" w:rsidR="00DE280D" w:rsidRPr="004A334E" w:rsidRDefault="00DE280D" w:rsidP="004B564D">
            <w:r>
              <w:t>mit Schutz-maßnahme</w:t>
            </w:r>
          </w:p>
        </w:tc>
      </w:tr>
      <w:tr w:rsidR="00DE280D" w:rsidRPr="004A334E" w14:paraId="4D7C7EF3" w14:textId="77777777" w:rsidTr="004B564D">
        <w:tc>
          <w:tcPr>
            <w:tcW w:w="2039" w:type="dxa"/>
            <w:tcBorders>
              <w:top w:val="single" w:sz="12" w:space="0" w:color="auto"/>
              <w:left w:val="single" w:sz="12" w:space="0" w:color="auto"/>
              <w:bottom w:val="single" w:sz="12" w:space="0" w:color="auto"/>
              <w:right w:val="single" w:sz="12" w:space="0" w:color="auto"/>
            </w:tcBorders>
            <w:shd w:val="clear" w:color="auto" w:fill="auto"/>
            <w:vAlign w:val="center"/>
          </w:tcPr>
          <w:p w14:paraId="6FE4A97E" w14:textId="77777777" w:rsidR="00DE280D" w:rsidRPr="00361B7E" w:rsidRDefault="00DE280D" w:rsidP="004B564D">
            <w:r w:rsidRPr="00361B7E">
              <w:t>Normalbetrieb</w:t>
            </w:r>
          </w:p>
        </w:tc>
        <w:tc>
          <w:tcPr>
            <w:tcW w:w="1257"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949463988"/>
              <w14:checkbox>
                <w14:checked w14:val="1"/>
                <w14:checkedState w14:val="2612" w14:font="MS Gothic"/>
                <w14:uncheckedState w14:val="2610" w14:font="MS Gothic"/>
              </w14:checkbox>
            </w:sdtPr>
            <w:sdtEndPr/>
            <w:sdtContent>
              <w:p w14:paraId="32473B70" w14:textId="77777777" w:rsidR="00DE280D" w:rsidRPr="004A334E" w:rsidRDefault="00DE280D" w:rsidP="004B564D">
                <w:r>
                  <w:rPr>
                    <w:rFonts w:ascii="MS Gothic" w:eastAsia="MS Gothic" w:hAnsi="MS Gothic" w:hint="eastAsia"/>
                  </w:rPr>
                  <w:t>☒</w:t>
                </w:r>
              </w:p>
            </w:sdtContent>
          </w:sdt>
        </w:tc>
        <w:tc>
          <w:tcPr>
            <w:tcW w:w="896"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652601680"/>
              <w14:checkbox>
                <w14:checked w14:val="1"/>
                <w14:checkedState w14:val="2612" w14:font="MS Gothic"/>
                <w14:uncheckedState w14:val="2610" w14:font="MS Gothic"/>
              </w14:checkbox>
            </w:sdtPr>
            <w:sdtEndPr/>
            <w:sdtContent>
              <w:p w14:paraId="71C00A7B" w14:textId="77777777" w:rsidR="00DE280D" w:rsidRPr="005F054C" w:rsidRDefault="00DE280D" w:rsidP="004B564D">
                <w:r>
                  <w:rPr>
                    <w:rFonts w:ascii="MS Gothic" w:eastAsia="MS Gothic" w:hAnsi="MS Gothic" w:hint="eastAsia"/>
                  </w:rPr>
                  <w:t>☒</w:t>
                </w:r>
              </w:p>
            </w:sdtContent>
          </w:sdt>
        </w:tc>
        <w:tc>
          <w:tcPr>
            <w:tcW w:w="930"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344093116"/>
              <w14:checkbox>
                <w14:checked w14:val="0"/>
                <w14:checkedState w14:val="2612" w14:font="MS Gothic"/>
                <w14:uncheckedState w14:val="2610" w14:font="MS Gothic"/>
              </w14:checkbox>
            </w:sdtPr>
            <w:sdtEndPr/>
            <w:sdtContent>
              <w:p w14:paraId="6F5F05DE" w14:textId="77777777" w:rsidR="00DE280D" w:rsidRPr="005F054C" w:rsidRDefault="00DE280D" w:rsidP="004B564D">
                <w:r>
                  <w:rPr>
                    <w:rFonts w:ascii="MS Gothic" w:eastAsia="MS Gothic" w:hAnsi="MS Gothic" w:hint="eastAsia"/>
                  </w:rPr>
                  <w:t>☐</w:t>
                </w:r>
              </w:p>
            </w:sdtContent>
          </w:sdt>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283310220"/>
              <w14:checkbox>
                <w14:checked w14:val="0"/>
                <w14:checkedState w14:val="2612" w14:font="MS Gothic"/>
                <w14:uncheckedState w14:val="2610" w14:font="MS Gothic"/>
              </w14:checkbox>
            </w:sdtPr>
            <w:sdtEndPr/>
            <w:sdtContent>
              <w:p w14:paraId="2B711926" w14:textId="77777777" w:rsidR="00DE280D" w:rsidRPr="005F054C" w:rsidRDefault="00DE280D" w:rsidP="004B564D">
                <w:r>
                  <w:rPr>
                    <w:rFonts w:ascii="MS Gothic" w:eastAsia="MS Gothic" w:hAnsi="MS Gothic" w:hint="eastAsia"/>
                  </w:rPr>
                  <w:t>☐</w:t>
                </w:r>
              </w:p>
            </w:sdtContent>
          </w:sdt>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2CDE9841" w14:textId="77777777" w:rsidR="00DE280D" w:rsidRDefault="00DE280D" w:rsidP="004B564D">
            <w:r>
              <w:t>Bemessung</w:t>
            </w:r>
          </w:p>
          <w:p w14:paraId="7283BA18" w14:textId="77777777" w:rsidR="00DE280D" w:rsidRDefault="00DE280D" w:rsidP="004B564D">
            <w:r>
              <w:t>Lüftungsüberwachung</w:t>
            </w:r>
          </w:p>
          <w:p w14:paraId="42872BAC" w14:textId="77777777" w:rsidR="00DE280D" w:rsidRPr="005F054C" w:rsidRDefault="00DE280D" w:rsidP="004B564D">
            <w:r>
              <w:t>Verriegelung der Lüftung</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365900233"/>
              <w14:checkbox>
                <w14:checked w14:val="0"/>
                <w14:checkedState w14:val="2612" w14:font="MS Gothic"/>
                <w14:uncheckedState w14:val="2610" w14:font="MS Gothic"/>
              </w14:checkbox>
            </w:sdtPr>
            <w:sdtEndPr/>
            <w:sdtContent>
              <w:p w14:paraId="56A33030" w14:textId="77777777" w:rsidR="00DE280D" w:rsidRPr="005F054C" w:rsidRDefault="00DE280D" w:rsidP="004B564D">
                <w:r>
                  <w:rPr>
                    <w:rFonts w:ascii="MS Gothic" w:eastAsia="MS Gothic" w:hAnsi="MS Gothic" w:hint="eastAsia"/>
                  </w:rPr>
                  <w:t>☐</w:t>
                </w:r>
              </w:p>
            </w:sdtContent>
          </w:sdt>
        </w:tc>
      </w:tr>
      <w:tr w:rsidR="00DE280D" w:rsidRPr="004A334E" w14:paraId="3E159A10" w14:textId="77777777" w:rsidTr="004B564D">
        <w:tc>
          <w:tcPr>
            <w:tcW w:w="2039" w:type="dxa"/>
            <w:tcBorders>
              <w:top w:val="single" w:sz="12" w:space="0" w:color="auto"/>
              <w:left w:val="single" w:sz="12" w:space="0" w:color="auto"/>
              <w:bottom w:val="single" w:sz="12" w:space="0" w:color="auto"/>
              <w:right w:val="single" w:sz="12" w:space="0" w:color="auto"/>
            </w:tcBorders>
            <w:shd w:val="clear" w:color="auto" w:fill="auto"/>
            <w:vAlign w:val="center"/>
          </w:tcPr>
          <w:p w14:paraId="3C1EFE21" w14:textId="77777777" w:rsidR="00DE280D" w:rsidRPr="00361B7E" w:rsidRDefault="00DE280D" w:rsidP="004B564D">
            <w:r w:rsidRPr="00361B7E">
              <w:t>Vorhersehbare Störungen</w:t>
            </w:r>
          </w:p>
        </w:tc>
        <w:tc>
          <w:tcPr>
            <w:tcW w:w="1257"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736158563"/>
              <w14:checkbox>
                <w14:checked w14:val="1"/>
                <w14:checkedState w14:val="2612" w14:font="MS Gothic"/>
                <w14:uncheckedState w14:val="2610" w14:font="MS Gothic"/>
              </w14:checkbox>
            </w:sdtPr>
            <w:sdtEndPr/>
            <w:sdtContent>
              <w:p w14:paraId="0C080744" w14:textId="77777777" w:rsidR="00DE280D" w:rsidRPr="004A334E" w:rsidRDefault="00DE280D" w:rsidP="004B564D">
                <w:r>
                  <w:rPr>
                    <w:rFonts w:ascii="MS Gothic" w:eastAsia="MS Gothic" w:hAnsi="MS Gothic" w:hint="eastAsia"/>
                  </w:rPr>
                  <w:t>☒</w:t>
                </w:r>
              </w:p>
            </w:sdtContent>
          </w:sdt>
        </w:tc>
        <w:tc>
          <w:tcPr>
            <w:tcW w:w="896"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434550306"/>
              <w14:checkbox>
                <w14:checked w14:val="0"/>
                <w14:checkedState w14:val="2612" w14:font="MS Gothic"/>
                <w14:uncheckedState w14:val="2610" w14:font="MS Gothic"/>
              </w14:checkbox>
            </w:sdtPr>
            <w:sdtEndPr/>
            <w:sdtContent>
              <w:p w14:paraId="2B0B75ED" w14:textId="77777777" w:rsidR="00DE280D" w:rsidRPr="005F054C" w:rsidRDefault="00DE280D" w:rsidP="004B564D">
                <w:pPr>
                  <w:rPr>
                    <w:sz w:val="18"/>
                    <w:szCs w:val="18"/>
                  </w:rPr>
                </w:pPr>
                <w:r>
                  <w:rPr>
                    <w:rFonts w:ascii="MS Gothic" w:eastAsia="MS Gothic" w:hAnsi="MS Gothic" w:hint="eastAsia"/>
                  </w:rPr>
                  <w:t>☐</w:t>
                </w:r>
              </w:p>
            </w:sdtContent>
          </w:sdt>
        </w:tc>
        <w:tc>
          <w:tcPr>
            <w:tcW w:w="930"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40524604"/>
              <w14:checkbox>
                <w14:checked w14:val="0"/>
                <w14:checkedState w14:val="2612" w14:font="MS Gothic"/>
                <w14:uncheckedState w14:val="2610" w14:font="MS Gothic"/>
              </w14:checkbox>
            </w:sdtPr>
            <w:sdtEndPr/>
            <w:sdtContent>
              <w:p w14:paraId="71B7BDBE" w14:textId="77777777" w:rsidR="00DE280D" w:rsidRPr="005F054C" w:rsidRDefault="00DE280D" w:rsidP="004B564D">
                <w:pPr>
                  <w:rPr>
                    <w:sz w:val="18"/>
                    <w:szCs w:val="18"/>
                  </w:rPr>
                </w:pPr>
                <w:r>
                  <w:rPr>
                    <w:rFonts w:ascii="MS Gothic" w:eastAsia="MS Gothic" w:hAnsi="MS Gothic" w:hint="eastAsia"/>
                  </w:rPr>
                  <w:t>☐</w:t>
                </w:r>
              </w:p>
            </w:sdtContent>
          </w:sdt>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846314696"/>
              <w14:checkbox>
                <w14:checked w14:val="0"/>
                <w14:checkedState w14:val="2612" w14:font="MS Gothic"/>
                <w14:uncheckedState w14:val="2610" w14:font="MS Gothic"/>
              </w14:checkbox>
            </w:sdtPr>
            <w:sdtEndPr/>
            <w:sdtContent>
              <w:p w14:paraId="30F70827" w14:textId="77777777" w:rsidR="00DE280D" w:rsidRPr="005F054C" w:rsidRDefault="00DE280D" w:rsidP="004B564D">
                <w:pPr>
                  <w:rPr>
                    <w:sz w:val="18"/>
                    <w:szCs w:val="18"/>
                  </w:rPr>
                </w:pPr>
                <w:r>
                  <w:rPr>
                    <w:rFonts w:ascii="MS Gothic" w:eastAsia="MS Gothic" w:hAnsi="MS Gothic" w:hint="eastAsia"/>
                  </w:rPr>
                  <w:t>☐</w:t>
                </w:r>
              </w:p>
            </w:sdtContent>
          </w:sdt>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100089D3" w14:textId="77777777" w:rsidR="00DE280D" w:rsidRPr="005F054C" w:rsidRDefault="00DE280D" w:rsidP="004B564D"/>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553769596"/>
              <w14:checkbox>
                <w14:checked w14:val="0"/>
                <w14:checkedState w14:val="2612" w14:font="MS Gothic"/>
                <w14:uncheckedState w14:val="2610" w14:font="MS Gothic"/>
              </w14:checkbox>
            </w:sdtPr>
            <w:sdtEndPr/>
            <w:sdtContent>
              <w:p w14:paraId="7FB42C54" w14:textId="77777777" w:rsidR="00DE280D" w:rsidRPr="005F054C" w:rsidRDefault="00DE280D" w:rsidP="004B564D">
                <w:r>
                  <w:rPr>
                    <w:rFonts w:ascii="MS Gothic" w:eastAsia="MS Gothic" w:hAnsi="MS Gothic" w:hint="eastAsia"/>
                  </w:rPr>
                  <w:t>☐</w:t>
                </w:r>
              </w:p>
            </w:sdtContent>
          </w:sdt>
        </w:tc>
      </w:tr>
      <w:tr w:rsidR="00DE280D" w:rsidRPr="004A334E" w14:paraId="04455926" w14:textId="77777777" w:rsidTr="004B564D">
        <w:tc>
          <w:tcPr>
            <w:tcW w:w="2039" w:type="dxa"/>
            <w:tcBorders>
              <w:top w:val="single" w:sz="12" w:space="0" w:color="auto"/>
              <w:left w:val="single" w:sz="12" w:space="0" w:color="auto"/>
              <w:bottom w:val="single" w:sz="12" w:space="0" w:color="auto"/>
              <w:right w:val="single" w:sz="12" w:space="0" w:color="auto"/>
            </w:tcBorders>
            <w:shd w:val="clear" w:color="auto" w:fill="auto"/>
            <w:vAlign w:val="center"/>
          </w:tcPr>
          <w:p w14:paraId="5DC421EA" w14:textId="77777777" w:rsidR="00DE280D" w:rsidRPr="00361B7E" w:rsidRDefault="00DE280D" w:rsidP="004B564D">
            <w:r w:rsidRPr="00361B7E">
              <w:t>Selten auftretende Störungen</w:t>
            </w:r>
          </w:p>
        </w:tc>
        <w:tc>
          <w:tcPr>
            <w:tcW w:w="1257"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846298362"/>
              <w14:checkbox>
                <w14:checked w14:val="0"/>
                <w14:checkedState w14:val="2612" w14:font="MS Gothic"/>
                <w14:uncheckedState w14:val="2610" w14:font="MS Gothic"/>
              </w14:checkbox>
            </w:sdtPr>
            <w:sdtEndPr/>
            <w:sdtContent>
              <w:p w14:paraId="48560080" w14:textId="77777777" w:rsidR="00DE280D" w:rsidRPr="004A334E" w:rsidRDefault="00DE280D" w:rsidP="004B564D">
                <w:r>
                  <w:rPr>
                    <w:rFonts w:ascii="MS Gothic" w:eastAsia="MS Gothic" w:hAnsi="MS Gothic" w:hint="eastAsia"/>
                  </w:rPr>
                  <w:t>☐</w:t>
                </w:r>
              </w:p>
            </w:sdtContent>
          </w:sdt>
        </w:tc>
        <w:tc>
          <w:tcPr>
            <w:tcW w:w="896"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739939775"/>
              <w14:checkbox>
                <w14:checked w14:val="0"/>
                <w14:checkedState w14:val="2612" w14:font="MS Gothic"/>
                <w14:uncheckedState w14:val="2610" w14:font="MS Gothic"/>
              </w14:checkbox>
            </w:sdtPr>
            <w:sdtEndPr/>
            <w:sdtContent>
              <w:p w14:paraId="265DF6F5" w14:textId="77777777" w:rsidR="00DE280D" w:rsidRPr="005F054C" w:rsidRDefault="00DE280D" w:rsidP="004B564D">
                <w:pPr>
                  <w:rPr>
                    <w:sz w:val="18"/>
                    <w:szCs w:val="18"/>
                  </w:rPr>
                </w:pPr>
                <w:r>
                  <w:rPr>
                    <w:rFonts w:ascii="MS Gothic" w:eastAsia="MS Gothic" w:hAnsi="MS Gothic" w:hint="eastAsia"/>
                  </w:rPr>
                  <w:t>☐</w:t>
                </w:r>
              </w:p>
            </w:sdtContent>
          </w:sdt>
        </w:tc>
        <w:tc>
          <w:tcPr>
            <w:tcW w:w="930"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808010966"/>
              <w14:checkbox>
                <w14:checked w14:val="1"/>
                <w14:checkedState w14:val="2612" w14:font="MS Gothic"/>
                <w14:uncheckedState w14:val="2610" w14:font="MS Gothic"/>
              </w14:checkbox>
            </w:sdtPr>
            <w:sdtEndPr/>
            <w:sdtContent>
              <w:p w14:paraId="7DD7E147" w14:textId="77777777" w:rsidR="00DE280D" w:rsidRPr="005F054C" w:rsidRDefault="00DE280D" w:rsidP="004B564D">
                <w:pPr>
                  <w:rPr>
                    <w:sz w:val="18"/>
                    <w:szCs w:val="18"/>
                  </w:rPr>
                </w:pPr>
                <w:r>
                  <w:rPr>
                    <w:rFonts w:ascii="MS Gothic" w:eastAsia="MS Gothic" w:hAnsi="MS Gothic" w:hint="eastAsia"/>
                  </w:rPr>
                  <w:t>☒</w:t>
                </w:r>
              </w:p>
            </w:sdtContent>
          </w:sdt>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811168229"/>
              <w14:checkbox>
                <w14:checked w14:val="0"/>
                <w14:checkedState w14:val="2612" w14:font="MS Gothic"/>
                <w14:uncheckedState w14:val="2610" w14:font="MS Gothic"/>
              </w14:checkbox>
            </w:sdtPr>
            <w:sdtEndPr/>
            <w:sdtContent>
              <w:p w14:paraId="5DEA5D8C" w14:textId="77777777" w:rsidR="00DE280D" w:rsidRPr="005F054C" w:rsidRDefault="00DE280D" w:rsidP="004B564D">
                <w:pPr>
                  <w:rPr>
                    <w:sz w:val="18"/>
                    <w:szCs w:val="18"/>
                  </w:rPr>
                </w:pPr>
                <w:r>
                  <w:rPr>
                    <w:rFonts w:ascii="MS Gothic" w:eastAsia="MS Gothic" w:hAnsi="MS Gothic" w:hint="eastAsia"/>
                  </w:rPr>
                  <w:t>☐</w:t>
                </w:r>
              </w:p>
            </w:sdtContent>
          </w:sdt>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0313AE56" w14:textId="77777777" w:rsidR="00DE280D" w:rsidRPr="005F054C" w:rsidRDefault="00DE280D" w:rsidP="004B564D">
            <w:r>
              <w:t>Zündquellen im Nahbereich der Batterie</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726300608"/>
              <w14:checkbox>
                <w14:checked w14:val="1"/>
                <w14:checkedState w14:val="2612" w14:font="MS Gothic"/>
                <w14:uncheckedState w14:val="2610" w14:font="MS Gothic"/>
              </w14:checkbox>
            </w:sdtPr>
            <w:sdtEndPr/>
            <w:sdtContent>
              <w:p w14:paraId="2513D0FE" w14:textId="77777777" w:rsidR="00DE280D" w:rsidRPr="005F054C" w:rsidRDefault="00DE280D" w:rsidP="004B564D">
                <w:r>
                  <w:rPr>
                    <w:rFonts w:ascii="MS Gothic" w:eastAsia="MS Gothic" w:hAnsi="MS Gothic" w:hint="eastAsia"/>
                  </w:rPr>
                  <w:t>☒</w:t>
                </w:r>
              </w:p>
            </w:sdtContent>
          </w:sdt>
        </w:tc>
      </w:tr>
      <w:tr w:rsidR="00DE280D" w:rsidRPr="004A334E" w14:paraId="6C9EE2B8" w14:textId="77777777" w:rsidTr="004B564D">
        <w:trPr>
          <w:trHeight w:val="1204"/>
        </w:trPr>
        <w:tc>
          <w:tcPr>
            <w:tcW w:w="2039" w:type="dxa"/>
            <w:tcBorders>
              <w:top w:val="single" w:sz="12" w:space="0" w:color="auto"/>
              <w:left w:val="single" w:sz="12" w:space="0" w:color="auto"/>
              <w:bottom w:val="single" w:sz="12" w:space="0" w:color="auto"/>
              <w:right w:val="single" w:sz="12" w:space="0" w:color="auto"/>
            </w:tcBorders>
            <w:shd w:val="clear" w:color="auto" w:fill="auto"/>
            <w:vAlign w:val="center"/>
          </w:tcPr>
          <w:p w14:paraId="7379CC1C" w14:textId="77777777" w:rsidR="00DE280D" w:rsidRPr="00361B7E" w:rsidRDefault="00DE280D" w:rsidP="004B564D">
            <w:r w:rsidRPr="00361B7E">
              <w:t>Instandhaltung, Reinigung und Wartung</w:t>
            </w:r>
          </w:p>
          <w:p w14:paraId="22984F0D" w14:textId="77777777" w:rsidR="00DE280D" w:rsidRPr="00361B7E" w:rsidRDefault="00DE280D" w:rsidP="004B564D">
            <w:r w:rsidRPr="00361B7E">
              <w:t>(temporär)</w:t>
            </w:r>
          </w:p>
        </w:tc>
        <w:tc>
          <w:tcPr>
            <w:tcW w:w="1257"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972206571"/>
              <w14:checkbox>
                <w14:checked w14:val="1"/>
                <w14:checkedState w14:val="2612" w14:font="MS Gothic"/>
                <w14:uncheckedState w14:val="2610" w14:font="MS Gothic"/>
              </w14:checkbox>
            </w:sdtPr>
            <w:sdtEndPr/>
            <w:sdtContent>
              <w:p w14:paraId="481D6962" w14:textId="77777777" w:rsidR="00DE280D" w:rsidRPr="004A334E" w:rsidRDefault="00DE280D" w:rsidP="004B564D">
                <w:r>
                  <w:rPr>
                    <w:rFonts w:ascii="MS Gothic" w:eastAsia="MS Gothic" w:hAnsi="MS Gothic" w:hint="eastAsia"/>
                  </w:rPr>
                  <w:t>☒</w:t>
                </w:r>
              </w:p>
            </w:sdtContent>
          </w:sdt>
        </w:tc>
        <w:tc>
          <w:tcPr>
            <w:tcW w:w="896"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580564630"/>
              <w14:checkbox>
                <w14:checked w14:val="0"/>
                <w14:checkedState w14:val="2612" w14:font="MS Gothic"/>
                <w14:uncheckedState w14:val="2610" w14:font="MS Gothic"/>
              </w14:checkbox>
            </w:sdtPr>
            <w:sdtEndPr/>
            <w:sdtContent>
              <w:p w14:paraId="2B60AF44" w14:textId="77777777" w:rsidR="00DE280D" w:rsidRPr="005F054C" w:rsidRDefault="00DE280D" w:rsidP="004B564D">
                <w:pPr>
                  <w:rPr>
                    <w:sz w:val="18"/>
                    <w:szCs w:val="18"/>
                  </w:rPr>
                </w:pPr>
                <w:r>
                  <w:rPr>
                    <w:rFonts w:ascii="MS Gothic" w:eastAsia="MS Gothic" w:hAnsi="MS Gothic" w:hint="eastAsia"/>
                  </w:rPr>
                  <w:t>☐</w:t>
                </w:r>
              </w:p>
            </w:sdtContent>
          </w:sdt>
        </w:tc>
        <w:tc>
          <w:tcPr>
            <w:tcW w:w="930"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1142235099"/>
              <w14:checkbox>
                <w14:checked w14:val="1"/>
                <w14:checkedState w14:val="2612" w14:font="MS Gothic"/>
                <w14:uncheckedState w14:val="2610" w14:font="MS Gothic"/>
              </w14:checkbox>
            </w:sdtPr>
            <w:sdtEndPr/>
            <w:sdtContent>
              <w:p w14:paraId="3730954D" w14:textId="77777777" w:rsidR="00DE280D" w:rsidRPr="005F054C" w:rsidRDefault="00DE280D" w:rsidP="004B564D">
                <w:pPr>
                  <w:rPr>
                    <w:sz w:val="18"/>
                    <w:szCs w:val="18"/>
                  </w:rPr>
                </w:pPr>
                <w:r>
                  <w:rPr>
                    <w:rFonts w:ascii="MS Gothic" w:eastAsia="MS Gothic" w:hAnsi="MS Gothic" w:hint="eastAsia"/>
                  </w:rPr>
                  <w:t>☒</w:t>
                </w:r>
              </w:p>
            </w:sdtContent>
          </w:sdt>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930504326"/>
              <w14:checkbox>
                <w14:checked w14:val="0"/>
                <w14:checkedState w14:val="2612" w14:font="MS Gothic"/>
                <w14:uncheckedState w14:val="2610" w14:font="MS Gothic"/>
              </w14:checkbox>
            </w:sdtPr>
            <w:sdtEndPr/>
            <w:sdtContent>
              <w:p w14:paraId="5DDC7D64" w14:textId="77777777" w:rsidR="00DE280D" w:rsidRPr="005F054C" w:rsidRDefault="00DE280D" w:rsidP="004B564D">
                <w:pPr>
                  <w:rPr>
                    <w:sz w:val="18"/>
                    <w:szCs w:val="18"/>
                  </w:rPr>
                </w:pPr>
                <w:r>
                  <w:rPr>
                    <w:rFonts w:ascii="MS Gothic" w:eastAsia="MS Gothic" w:hAnsi="MS Gothic" w:hint="eastAsia"/>
                  </w:rPr>
                  <w:t>☐</w:t>
                </w:r>
              </w:p>
            </w:sdtContent>
          </w:sdt>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6EC35E09" w14:textId="77777777" w:rsidR="00DE280D" w:rsidRDefault="00DE280D" w:rsidP="004B564D">
            <w:r>
              <w:t>Elektrostatische Maßnahmen beachten.</w:t>
            </w:r>
          </w:p>
          <w:p w14:paraId="57FB7102" w14:textId="77777777" w:rsidR="00DE280D" w:rsidRPr="005F054C" w:rsidRDefault="00DE280D" w:rsidP="004B564D">
            <w:r>
              <w:t>Freigabebedingungen</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sdt>
            <w:sdtPr>
              <w:id w:val="-889420300"/>
              <w14:checkbox>
                <w14:checked w14:val="1"/>
                <w14:checkedState w14:val="2612" w14:font="MS Gothic"/>
                <w14:uncheckedState w14:val="2610" w14:font="MS Gothic"/>
              </w14:checkbox>
            </w:sdtPr>
            <w:sdtEndPr/>
            <w:sdtContent>
              <w:p w14:paraId="642B4FBD" w14:textId="77777777" w:rsidR="00DE280D" w:rsidRPr="005F054C" w:rsidRDefault="00DE280D" w:rsidP="004B564D">
                <w:r>
                  <w:rPr>
                    <w:rFonts w:ascii="MS Gothic" w:eastAsia="MS Gothic" w:hAnsi="MS Gothic" w:hint="eastAsia"/>
                  </w:rPr>
                  <w:t>☒</w:t>
                </w:r>
              </w:p>
            </w:sdtContent>
          </w:sdt>
        </w:tc>
      </w:tr>
    </w:tbl>
    <w:p w14:paraId="266C9D9D" w14:textId="77777777" w:rsidR="00543116" w:rsidRDefault="00543116" w:rsidP="00543116"/>
    <w:p w14:paraId="61F3A3DE" w14:textId="77777777" w:rsidR="00543116" w:rsidRDefault="00543116" w:rsidP="00264A14"/>
    <w:p w14:paraId="0EFA30CD" w14:textId="736417D8" w:rsidR="007362E3" w:rsidRDefault="007362E3" w:rsidP="00264A14">
      <w:r w:rsidRPr="004A2C36">
        <w:br w:type="page"/>
      </w:r>
    </w:p>
    <w:p w14:paraId="61B64542" w14:textId="768F7E91" w:rsidR="00DA6177" w:rsidRDefault="00DA6177" w:rsidP="00264A14">
      <w:pPr>
        <w:pStyle w:val="berschrift1"/>
      </w:pPr>
      <w:bookmarkStart w:id="30" w:name="_Toc54433084"/>
      <w:bookmarkStart w:id="31" w:name="_Toc54440147"/>
      <w:bookmarkStart w:id="32" w:name="_Toc54595565"/>
      <w:r>
        <w:lastRenderedPageBreak/>
        <w:t>Primäre Schutzmaßnahmen</w:t>
      </w:r>
      <w:bookmarkEnd w:id="30"/>
      <w:bookmarkEnd w:id="31"/>
      <w:bookmarkEnd w:id="32"/>
    </w:p>
    <w:p w14:paraId="5130E6C2" w14:textId="596BB5C7" w:rsidR="006B26D4" w:rsidRDefault="006B26D4" w:rsidP="00264A14">
      <w:pPr>
        <w:pStyle w:val="berschrift2"/>
      </w:pPr>
      <w:bookmarkStart w:id="33" w:name="_Toc54433085"/>
      <w:bookmarkStart w:id="34" w:name="_Toc54440148"/>
      <w:bookmarkStart w:id="35" w:name="_Toc54595566"/>
      <w:r>
        <w:t>Berechnungsgrundlagen</w:t>
      </w:r>
      <w:r w:rsidR="00DA6177">
        <w:t xml:space="preserve"> zur Ausgasung</w:t>
      </w:r>
      <w:bookmarkEnd w:id="33"/>
      <w:bookmarkEnd w:id="34"/>
      <w:bookmarkEnd w:id="35"/>
    </w:p>
    <w:p w14:paraId="3356A56D" w14:textId="1E90287E" w:rsidR="00610F60" w:rsidRPr="00610F60" w:rsidRDefault="00610F60" w:rsidP="00264A14">
      <w:pPr>
        <w:rPr>
          <w:b/>
        </w:rPr>
      </w:pPr>
      <w:r w:rsidRPr="00610F60">
        <w:rPr>
          <w:b/>
        </w:rPr>
        <w:t>EN 62485-3:2014</w:t>
      </w:r>
    </w:p>
    <w:p w14:paraId="77F1586A" w14:textId="4674DC6C" w:rsidR="00795F17" w:rsidRPr="00795F17" w:rsidRDefault="0042590F" w:rsidP="00264A14">
      <m:oMathPara>
        <m:oMath>
          <m:r>
            <w:rPr>
              <w:rFonts w:ascii="Cambria Math" w:hAnsi="Cambria Math"/>
            </w:rPr>
            <m:t>Q=v*q*s*n*</m:t>
          </m:r>
          <m:sSub>
            <m:sSubPr>
              <m:ctrlPr>
                <w:rPr>
                  <w:rFonts w:ascii="Cambria Math" w:hAnsi="Cambria Math"/>
                  <w:i/>
                </w:rPr>
              </m:ctrlPr>
            </m:sSubPr>
            <m:e>
              <m:r>
                <w:rPr>
                  <w:rFonts w:ascii="Cambria Math" w:hAnsi="Cambria Math"/>
                </w:rPr>
                <m:t>l</m:t>
              </m:r>
            </m:e>
            <m:sub>
              <m:r>
                <w:rPr>
                  <w:rFonts w:ascii="Cambria Math" w:hAnsi="Cambria Math"/>
                </w:rPr>
                <m:t>gas</m:t>
              </m:r>
            </m:sub>
          </m:sSub>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h</m:t>
              </m:r>
            </m:den>
          </m:f>
          <m:r>
            <w:rPr>
              <w:rFonts w:ascii="Cambria Math" w:hAnsi="Cambria Math"/>
            </w:rPr>
            <m:t>]</m:t>
          </m:r>
        </m:oMath>
      </m:oMathPara>
    </w:p>
    <w:p w14:paraId="2668ECD4" w14:textId="1D44F367" w:rsidR="00610F60" w:rsidRDefault="00CD3879" w:rsidP="00264A14">
      <w:r>
        <w:t>Dabei ist</w:t>
      </w:r>
    </w:p>
    <w:p w14:paraId="7B45C575" w14:textId="4AF0EADE" w:rsidR="0048269B" w:rsidRPr="0048269B" w:rsidRDefault="00CD3879" w:rsidP="00264A14">
      <m:oMathPara>
        <m:oMathParaPr>
          <m:jc m:val="left"/>
        </m:oMathParaPr>
        <m:oMath>
          <m:r>
            <w:rPr>
              <w:rFonts w:ascii="Cambria Math" w:hAnsi="Cambria Math"/>
            </w:rPr>
            <m:t xml:space="preserve">Q </m:t>
          </m:r>
          <m:r>
            <m:rPr>
              <m:nor/>
            </m:rPr>
            <w:rPr>
              <w:rFonts w:ascii="Cambria Math" w:hAnsi="Cambria Math"/>
            </w:rPr>
            <m:t>der Luftvolumenstrom in</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h</m:t>
              </m:r>
            </m:den>
          </m:f>
          <m:r>
            <w:rPr>
              <w:rFonts w:ascii="Cambria Math" w:hAnsi="Cambria Math"/>
            </w:rPr>
            <m:t>;</m:t>
          </m:r>
        </m:oMath>
      </m:oMathPara>
    </w:p>
    <w:p w14:paraId="53BF42B8" w14:textId="57CC53EB" w:rsidR="00610F60" w:rsidRPr="00CD3879" w:rsidRDefault="00CD3879" w:rsidP="00264A14">
      <m:oMathPara>
        <m:oMathParaPr>
          <m:jc m:val="left"/>
        </m:oMathParaPr>
        <m:oMath>
          <m:r>
            <w:rPr>
              <w:rFonts w:ascii="Cambria Math" w:hAnsi="Cambria Math"/>
            </w:rPr>
            <m:t xml:space="preserve">v </m:t>
          </m:r>
          <m:r>
            <m:rPr>
              <m:nor/>
            </m:rPr>
            <m:t>der erforderliche Verdünnungsfaktor des Wasserstoffdurchflusses:</m:t>
          </m:r>
          <m:f>
            <m:fPr>
              <m:ctrlPr>
                <w:rPr>
                  <w:rFonts w:ascii="Cambria Math" w:hAnsi="Cambria Math"/>
                  <w:i/>
                </w:rPr>
              </m:ctrlPr>
            </m:fPr>
            <m:num>
              <m:r>
                <w:rPr>
                  <w:rFonts w:ascii="Cambria Math" w:hAnsi="Cambria Math"/>
                </w:rPr>
                <m:t>100 %-4 %</m:t>
              </m:r>
            </m:num>
            <m:den>
              <m:r>
                <w:rPr>
                  <w:rFonts w:ascii="Cambria Math" w:hAnsi="Cambria Math"/>
                </w:rPr>
                <m:t>4 %</m:t>
              </m:r>
            </m:den>
          </m:f>
          <m:r>
            <w:rPr>
              <w:rFonts w:ascii="Cambria Math" w:hAnsi="Cambria Math"/>
            </w:rPr>
            <m:t>=24;</m:t>
          </m:r>
        </m:oMath>
      </m:oMathPara>
    </w:p>
    <w:p w14:paraId="50893EDE" w14:textId="30DDAA48" w:rsidR="00CD3879" w:rsidRDefault="00A73ED5" w:rsidP="00264A14">
      <m:oMathPara>
        <m:oMathParaPr>
          <m:jc m:val="left"/>
        </m:oMathParaPr>
        <m:oMath>
          <m:r>
            <w:rPr>
              <w:rFonts w:ascii="Cambria Math" w:hAnsi="Cambria Math"/>
            </w:rPr>
            <m:t>q 0,42*</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 </m:t>
          </m:r>
          <m:r>
            <m:rPr>
              <m:nor/>
            </m:rPr>
            <w:rPr>
              <w:rFonts w:ascii="Cambria Math" w:hAnsi="Cambria Math"/>
            </w:rPr>
            <m:t xml:space="preserve">bei </m:t>
          </m:r>
          <m:r>
            <w:rPr>
              <w:rFonts w:ascii="Cambria Math" w:hAnsi="Cambria Math"/>
            </w:rPr>
            <m:t xml:space="preserve">0°C </m:t>
          </m:r>
          <m:r>
            <m:rPr>
              <m:nor/>
            </m:rPr>
            <w:rPr>
              <w:rFonts w:ascii="Cambria Math" w:hAnsi="Cambria Math"/>
            </w:rPr>
            <m:t>erzeugte Menge Wasserstoff in</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Ah</m:t>
              </m:r>
            </m:den>
          </m:f>
          <m:r>
            <w:rPr>
              <w:rFonts w:ascii="Cambria Math" w:hAnsi="Cambria Math"/>
            </w:rPr>
            <m:t xml:space="preserve">; </m:t>
          </m:r>
          <m:r>
            <m:rPr>
              <m:sty m:val="p"/>
            </m:rPr>
            <w:rPr>
              <w:rFonts w:ascii="Cambria Math" w:hAnsi="Cambria Math"/>
            </w:rPr>
            <w:br w:type="textWrapping" w:clear="all"/>
          </m:r>
        </m:oMath>
        <m:oMath>
          <m:r>
            <m:rPr>
              <m:nor/>
            </m:rPr>
            <w:rPr>
              <w:rFonts w:ascii="Cambria Math" w:hAnsi="Cambria Math"/>
            </w:rPr>
            <m:t>Für die Berechnungen bei</m:t>
          </m:r>
          <m:r>
            <w:rPr>
              <w:rFonts w:ascii="Cambria Math" w:hAnsi="Cambria Math"/>
            </w:rPr>
            <m:t xml:space="preserve"> 25°C </m:t>
          </m:r>
          <m:r>
            <m:rPr>
              <m:nor/>
            </m:rPr>
            <w:rPr>
              <w:rFonts w:ascii="Cambria Math" w:hAnsi="Cambria Math"/>
            </w:rPr>
            <m:t>muss der Wert von</m:t>
          </m:r>
          <m:r>
            <w:rPr>
              <w:rFonts w:ascii="Cambria Math" w:hAnsi="Cambria Math"/>
            </w:rPr>
            <m:t xml:space="preserve"> q </m:t>
          </m:r>
          <m:r>
            <m:rPr>
              <m:nor/>
            </m:rPr>
            <w:rPr>
              <w:rFonts w:ascii="Cambria Math" w:hAnsi="Cambria Math"/>
            </w:rPr>
            <m:t>bei</m:t>
          </m:r>
          <m:r>
            <w:rPr>
              <w:rFonts w:ascii="Cambria Math" w:hAnsi="Cambria Math"/>
            </w:rPr>
            <m:t xml:space="preserve"> 0°C </m:t>
          </m:r>
          <m:r>
            <m:rPr>
              <m:nor/>
            </m:rPr>
            <w:rPr>
              <w:rFonts w:ascii="Cambria Math" w:hAnsi="Cambria Math"/>
            </w:rPr>
            <m:t>mit dem Faktor</m:t>
          </m:r>
          <m:r>
            <w:rPr>
              <w:rFonts w:ascii="Cambria Math" w:hAnsi="Cambria Math"/>
            </w:rPr>
            <m:t xml:space="preserve"> 1,091 5 </m:t>
          </m:r>
          <m:r>
            <m:rPr>
              <m:nor/>
            </m:rPr>
            <w:rPr>
              <w:rFonts w:ascii="Cambria Math" w:hAnsi="Cambria Math"/>
            </w:rPr>
            <m:t>multipliziert werden;</m:t>
          </m:r>
          <m:r>
            <m:rPr>
              <m:nor/>
            </m:rPr>
            <w:rPr>
              <w:rFonts w:ascii="Cambria Math" w:hAnsi="Cambria Math"/>
            </w:rPr>
            <w:br w:type="textWrapping" w:clear="all"/>
          </m:r>
        </m:oMath>
        <m:oMath>
          <m:r>
            <m:rPr>
              <m:nor/>
            </m:rPr>
            <w:rPr>
              <w:rFonts w:ascii="Cambria Math" w:hAnsi="Cambria Math"/>
            </w:rPr>
            <m:t>dieser Faktor ergibt sich aus der allgemeinen Abteilung</m:t>
          </m:r>
          <m:f>
            <m:fPr>
              <m:ctrlPr>
                <w:rPr>
                  <w:rFonts w:ascii="Cambria Math" w:hAnsi="Cambria Math"/>
                  <w:i/>
                </w:rPr>
              </m:ctrlPr>
            </m:fPr>
            <m:num>
              <m:r>
                <w:rPr>
                  <w:rFonts w:ascii="Cambria Math" w:hAnsi="Cambria Math"/>
                </w:rPr>
                <m:t>(T+273)</m:t>
              </m:r>
            </m:num>
            <m:den>
              <m:r>
                <w:rPr>
                  <w:rFonts w:ascii="Cambria Math" w:hAnsi="Cambria Math"/>
                </w:rPr>
                <m:t>273</m:t>
              </m:r>
            </m:den>
          </m:f>
          <m:r>
            <m:rPr>
              <m:nor/>
            </m:rPr>
            <w:rPr>
              <w:rFonts w:ascii="Cambria Math" w:hAnsi="Cambria Math"/>
            </w:rPr>
            <m:t>, wobei T die Temperatur in °C ist;</m:t>
          </m:r>
        </m:oMath>
      </m:oMathPara>
    </w:p>
    <w:p w14:paraId="26A64CAF" w14:textId="71319F60" w:rsidR="008174AE" w:rsidRPr="008174AE" w:rsidRDefault="008174AE" w:rsidP="00CD5522">
      <m:oMathPara>
        <m:oMathParaPr>
          <m:jc m:val="left"/>
        </m:oMathParaPr>
        <m:oMath>
          <m:r>
            <w:rPr>
              <w:rFonts w:ascii="Cambria Math" w:hAnsi="Cambria Math"/>
            </w:rPr>
            <m:t xml:space="preserve">s </m:t>
          </m:r>
          <m:r>
            <m:rPr>
              <m:nor/>
            </m:rPr>
            <w:rPr>
              <w:rFonts w:ascii="Cambria Math" w:hAnsi="Cambria Math"/>
            </w:rPr>
            <m:t>der allgemeine Sicherheitsfaktor</m:t>
          </m:r>
          <m:r>
            <w:rPr>
              <w:rFonts w:ascii="Cambria Math" w:hAnsi="Cambria Math"/>
            </w:rPr>
            <m:t>=5;</m:t>
          </m:r>
        </m:oMath>
      </m:oMathPara>
    </w:p>
    <w:p w14:paraId="4C3897D3" w14:textId="72313AE7" w:rsidR="008174AE" w:rsidRPr="008174AE" w:rsidRDefault="008174AE" w:rsidP="00CD5522">
      <m:oMathPara>
        <m:oMathParaPr>
          <m:jc m:val="left"/>
        </m:oMathParaPr>
        <m:oMath>
          <m:r>
            <w:rPr>
              <w:rFonts w:ascii="Cambria Math" w:hAnsi="Cambria Math"/>
            </w:rPr>
            <m:t xml:space="preserve">n </m:t>
          </m:r>
          <m:r>
            <m:rPr>
              <m:nor/>
            </m:rPr>
            <w:rPr>
              <w:rFonts w:ascii="Cambria Math" w:hAnsi="Cambria Math"/>
            </w:rPr>
            <m:t>Anzahl der Zellen;</m:t>
          </m:r>
        </m:oMath>
      </m:oMathPara>
    </w:p>
    <w:p w14:paraId="36683690" w14:textId="57BA26E6" w:rsidR="00CD3879" w:rsidRPr="000D1167" w:rsidRDefault="00F92EBF" w:rsidP="00CD5522">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gas</m:t>
              </m:r>
            </m:sub>
          </m:sSub>
          <m:r>
            <w:rPr>
              <w:rFonts w:ascii="Cambria Math" w:hAnsi="Cambria Math"/>
            </w:rPr>
            <m:t xml:space="preserve"> </m:t>
          </m:r>
          <m:r>
            <m:rPr>
              <m:nor/>
            </m:rPr>
            <w:rPr>
              <w:rFonts w:ascii="Cambria Math" w:hAnsi="Cambria Math"/>
            </w:rPr>
            <m:t>der Gas erzeugende Strom zur Berechnung des Luftvolumenstroms, siehe nachstehend.</m:t>
          </m:r>
        </m:oMath>
      </m:oMathPara>
    </w:p>
    <w:p w14:paraId="44353407" w14:textId="6A87F8CB" w:rsidR="00610F60" w:rsidRDefault="00610F60" w:rsidP="00CD5522">
      <w:r>
        <w:t xml:space="preserve">Die Gleichung zur Berechnung des Luftvolumenstroms </w:t>
      </w:r>
      <w:r w:rsidR="001F3228">
        <w:t>kann wie folgt aufgelöst werden:</w:t>
      </w:r>
      <w:r>
        <w:t xml:space="preserve"> </w:t>
      </w:r>
    </w:p>
    <w:p w14:paraId="27AC4317" w14:textId="2A8EFFC3" w:rsidR="00610F60" w:rsidRPr="00B7080F" w:rsidRDefault="00535082" w:rsidP="008C0FBF">
      <w:pPr>
        <w:jc w:val="center"/>
      </w:pPr>
      <m:oMathPara>
        <m:oMathParaPr>
          <m:jc m:val="center"/>
        </m:oMathParaPr>
        <m:oMath>
          <m:r>
            <w:rPr>
              <w:rFonts w:ascii="Cambria Math" w:hAnsi="Cambria Math"/>
            </w:rPr>
            <m:t>Q=0,055*n*</m:t>
          </m:r>
          <m:sSub>
            <m:sSubPr>
              <m:ctrlPr>
                <w:rPr>
                  <w:rFonts w:ascii="Cambria Math" w:hAnsi="Cambria Math"/>
                  <w:i/>
                </w:rPr>
              </m:ctrlPr>
            </m:sSubPr>
            <m:e>
              <m:r>
                <w:rPr>
                  <w:rFonts w:ascii="Cambria Math" w:hAnsi="Cambria Math"/>
                </w:rPr>
                <m:t>l</m:t>
              </m:r>
            </m:e>
            <m:sub>
              <m:r>
                <w:rPr>
                  <w:rFonts w:ascii="Cambria Math" w:hAnsi="Cambria Math"/>
                </w:rPr>
                <m:t>gas</m:t>
              </m:r>
            </m:sub>
          </m:sSub>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h</m:t>
              </m:r>
            </m:den>
          </m:f>
          <m:r>
            <w:rPr>
              <w:rFonts w:ascii="Cambria Math" w:hAnsi="Cambria Math"/>
            </w:rPr>
            <m:t>].</m:t>
          </m:r>
        </m:oMath>
      </m:oMathPara>
    </w:p>
    <w:p w14:paraId="0410BE53" w14:textId="2A2A1E19" w:rsidR="00004185" w:rsidRDefault="00610F60" w:rsidP="00264A14">
      <w:r>
        <w:t>Die Formel gilt grundsätzlich bei 25°C</w:t>
      </w:r>
      <w:r w:rsidR="001F3228">
        <w:t>,</w:t>
      </w:r>
      <w:r>
        <w:t xml:space="preserve"> kann aber unter Berücksichtigung des Sicherheitsfaktors ohne weitere Anpassungen bis zur maximalen Betriebstemperatur der Batterie angewandt werden.</w:t>
      </w:r>
    </w:p>
    <w:p w14:paraId="2CD165E6" w14:textId="77777777" w:rsidR="00CD5522" w:rsidRPr="00CD5522" w:rsidRDefault="00CD5522" w:rsidP="00264A14">
      <w:pPr>
        <w:rPr>
          <w:sz w:val="2"/>
        </w:rPr>
      </w:pPr>
    </w:p>
    <w:p w14:paraId="5339A52E" w14:textId="7D2EE21A" w:rsidR="00004185" w:rsidRDefault="00004185" w:rsidP="00264A14">
      <w:r>
        <w:t xml:space="preserve">Zur Bestimmung von </w:t>
      </w:r>
      <m:oMath>
        <m:sSub>
          <m:sSubPr>
            <m:ctrlPr>
              <w:rPr>
                <w:rFonts w:ascii="Cambria Math" w:hAnsi="Cambria Math"/>
                <w:i/>
              </w:rPr>
            </m:ctrlPr>
          </m:sSubPr>
          <m:e>
            <m:r>
              <w:rPr>
                <w:rFonts w:ascii="Cambria Math" w:hAnsi="Cambria Math"/>
              </w:rPr>
              <m:t>l</m:t>
            </m:r>
          </m:e>
          <m:sub>
            <m:r>
              <w:rPr>
                <w:rFonts w:ascii="Cambria Math" w:hAnsi="Cambria Math"/>
              </w:rPr>
              <m:t>gas</m:t>
            </m:r>
          </m:sub>
        </m:sSub>
      </m:oMath>
      <w:r>
        <w:t xml:space="preserve"> gilt Folgendes:</w:t>
      </w:r>
    </w:p>
    <w:p w14:paraId="0AA4F0D1" w14:textId="223FE666" w:rsidR="00004185" w:rsidRDefault="00004185" w:rsidP="00004185">
      <w:pPr>
        <w:pStyle w:val="Listenabsatz"/>
        <w:numPr>
          <w:ilvl w:val="0"/>
          <w:numId w:val="9"/>
        </w:numPr>
      </w:pPr>
      <w:r>
        <w:t xml:space="preserve">Sofern ein geregeltes Ladegerät mit Ausgangskennwerten verwendet wird, das nicht von auftretenden Eingangsnetzspannungsschwankungen beeinflusst </w:t>
      </w:r>
      <w:r w:rsidR="00F97DCD">
        <w:t>ist</w:t>
      </w:r>
      <w:r>
        <w:t xml:space="preserve"> und für das der genaue Ladestromwert während des letzten Ladeabschnitts eindeutig feststeht, kann dieser Wert als </w:t>
      </w:r>
      <m:oMath>
        <m:sSub>
          <m:sSubPr>
            <m:ctrlPr>
              <w:rPr>
                <w:rFonts w:ascii="Cambria Math" w:hAnsi="Cambria Math"/>
                <w:i/>
              </w:rPr>
            </m:ctrlPr>
          </m:sSubPr>
          <m:e>
            <m:r>
              <w:rPr>
                <w:rFonts w:ascii="Cambria Math" w:hAnsi="Cambria Math"/>
              </w:rPr>
              <m:t>l</m:t>
            </m:r>
          </m:e>
          <m:sub>
            <m:r>
              <w:rPr>
                <w:rFonts w:ascii="Cambria Math" w:hAnsi="Cambria Math"/>
              </w:rPr>
              <m:t>gas</m:t>
            </m:r>
          </m:sub>
        </m:sSub>
      </m:oMath>
      <w:r>
        <w:t xml:space="preserve"> zur Berechnung des Luftvolumenstroms verwendet werden.</w:t>
      </w:r>
    </w:p>
    <w:p w14:paraId="7AA40424" w14:textId="7E39D862" w:rsidR="00004185" w:rsidRDefault="00004185" w:rsidP="00004185">
      <w:pPr>
        <w:pStyle w:val="Listenabsatz"/>
      </w:pPr>
      <w:r>
        <w:t xml:space="preserve">Ist der Wert des Ladestroms während des letzten Ladeabschnitts nicht sicher bekannt und wird ein geregeltes Multispannungs-Ladegerät verwendet, dann ist der höchste Ladeschlussstrom, den es liefern kann, als Wert für </w:t>
      </w:r>
      <m:oMath>
        <m:sSub>
          <m:sSubPr>
            <m:ctrlPr>
              <w:rPr>
                <w:rFonts w:ascii="Cambria Math" w:hAnsi="Cambria Math"/>
                <w:i/>
              </w:rPr>
            </m:ctrlPr>
          </m:sSubPr>
          <m:e>
            <m:r>
              <w:rPr>
                <w:rFonts w:ascii="Cambria Math" w:hAnsi="Cambria Math"/>
              </w:rPr>
              <m:t>l</m:t>
            </m:r>
          </m:e>
          <m:sub>
            <m:r>
              <w:rPr>
                <w:rFonts w:ascii="Cambria Math" w:hAnsi="Cambria Math"/>
              </w:rPr>
              <m:t>gas</m:t>
            </m:r>
          </m:sub>
        </m:sSub>
      </m:oMath>
      <w:r>
        <w:t xml:space="preserve"> zu verwenden.</w:t>
      </w:r>
    </w:p>
    <w:p w14:paraId="0C2F1BBE" w14:textId="50CB51E6" w:rsidR="00915DF6" w:rsidRDefault="00915DF6" w:rsidP="00004185">
      <w:pPr>
        <w:pStyle w:val="Listenabsatz"/>
      </w:pPr>
      <w:r>
        <w:t xml:space="preserve">Der Ladestromwert während des letzten Ladeabschnitts ist bei den Herstellern der geregelten Ladegeräte zu erfragen, wenn dafür keine Werte bekannt sind, um mit diesem Wert  </w:t>
      </w:r>
      <m:oMath>
        <m:sSub>
          <m:sSubPr>
            <m:ctrlPr>
              <w:rPr>
                <w:rFonts w:ascii="Cambria Math" w:hAnsi="Cambria Math"/>
                <w:i/>
              </w:rPr>
            </m:ctrlPr>
          </m:sSubPr>
          <m:e>
            <m:r>
              <w:rPr>
                <w:rFonts w:ascii="Cambria Math" w:hAnsi="Cambria Math"/>
              </w:rPr>
              <m:t>l</m:t>
            </m:r>
          </m:e>
          <m:sub>
            <m:r>
              <w:rPr>
                <w:rFonts w:ascii="Cambria Math" w:hAnsi="Cambria Math"/>
              </w:rPr>
              <m:t>gas</m:t>
            </m:r>
          </m:sub>
        </m:sSub>
      </m:oMath>
      <w:r>
        <w:t xml:space="preserve"> die Berechnung des Luftvolumenstroms zu ermöglichen.</w:t>
      </w:r>
    </w:p>
    <w:p w14:paraId="4E34C10E" w14:textId="46A456A8" w:rsidR="006A0392" w:rsidRPr="006A0392" w:rsidRDefault="00915DF6" w:rsidP="006A0392">
      <w:pPr>
        <w:pStyle w:val="Listenabsatz"/>
      </w:pPr>
      <w:r>
        <w:t xml:space="preserve">ANMERKUNG 1: Eine 48-V-Blei-Säure-Antriebsbatterie, bestehend aus 24 Zellen, wird von einem geregelten Ladegerät geladen, dass einen Ladeendstrom von höchstens 30 A bereitstellt. Gemäß obigen Festlegungen beträgt der Wert </w:t>
      </w:r>
      <m:oMath>
        <m:sSub>
          <m:sSubPr>
            <m:ctrlPr>
              <w:rPr>
                <w:rFonts w:ascii="Cambria Math" w:hAnsi="Cambria Math"/>
                <w:i/>
              </w:rPr>
            </m:ctrlPr>
          </m:sSubPr>
          <m:e>
            <m:r>
              <w:rPr>
                <w:rFonts w:ascii="Cambria Math" w:hAnsi="Cambria Math"/>
              </w:rPr>
              <m:t>l</m:t>
            </m:r>
          </m:e>
          <m:sub>
            <m:r>
              <w:rPr>
                <w:rFonts w:ascii="Cambria Math" w:hAnsi="Cambria Math"/>
              </w:rPr>
              <m:t>gas</m:t>
            </m:r>
          </m:sub>
        </m:sSub>
      </m:oMath>
      <w:r>
        <w:t xml:space="preserve"> 30 A. Für den Bedarf das notwendigen Luftvolumenstroms bei 25°C ergibt sich somit </w:t>
      </w:r>
      <m:oMath>
        <m:r>
          <w:rPr>
            <w:rFonts w:ascii="Cambria Math" w:hAnsi="Cambria Math"/>
          </w:rPr>
          <m:t>Q=0,055*24*30=39,6 [</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h</m:t>
            </m:r>
          </m:den>
        </m:f>
        <m:r>
          <w:rPr>
            <w:rFonts w:ascii="Cambria Math" w:hAnsi="Cambria Math"/>
          </w:rPr>
          <m:t>]</m:t>
        </m:r>
      </m:oMath>
      <w:r w:rsidR="008F7396">
        <w:t>.</w:t>
      </w:r>
    </w:p>
    <w:p w14:paraId="16FA002C" w14:textId="040B9A11" w:rsidR="00004185" w:rsidRDefault="00762E5E" w:rsidP="00004185">
      <w:pPr>
        <w:pStyle w:val="Listenabsatz"/>
        <w:numPr>
          <w:ilvl w:val="0"/>
          <w:numId w:val="9"/>
        </w:numPr>
      </w:pPr>
      <w:r>
        <w:t xml:space="preserve">Bei ungeregelten Ladegeräten und in allen anderen Fällen, in denen der Ladeendstrom nicht mit Sicherheit bekannt ist, muss für </w:t>
      </w:r>
      <m:oMath>
        <m:sSub>
          <m:sSubPr>
            <m:ctrlPr>
              <w:rPr>
                <w:rFonts w:ascii="Cambria Math" w:hAnsi="Cambria Math"/>
                <w:i/>
              </w:rPr>
            </m:ctrlPr>
          </m:sSubPr>
          <m:e>
            <m:r>
              <w:rPr>
                <w:rFonts w:ascii="Cambria Math" w:hAnsi="Cambria Math"/>
              </w:rPr>
              <m:t>l</m:t>
            </m:r>
          </m:e>
          <m:sub>
            <m:r>
              <w:rPr>
                <w:rFonts w:ascii="Cambria Math" w:hAnsi="Cambria Math"/>
              </w:rPr>
              <m:t>gas</m:t>
            </m:r>
          </m:sub>
        </m:sSub>
      </m:oMath>
      <w:r>
        <w:t xml:space="preserve"> ein Wert in Höhe von 40 % des Bemessungsausgangsstroms </w:t>
      </w:r>
      <m:oMath>
        <m:sSub>
          <m:sSubPr>
            <m:ctrlPr>
              <w:rPr>
                <w:rFonts w:ascii="Cambria Math" w:hAnsi="Cambria Math"/>
                <w:i/>
              </w:rPr>
            </m:ctrlPr>
          </m:sSubPr>
          <m:e>
            <m:r>
              <w:rPr>
                <w:rFonts w:ascii="Cambria Math" w:hAnsi="Cambria Math"/>
              </w:rPr>
              <m:t>l</m:t>
            </m:r>
          </m:e>
          <m:sub>
            <m:r>
              <w:rPr>
                <w:rFonts w:ascii="Cambria Math" w:hAnsi="Cambria Math"/>
              </w:rPr>
              <m:t>n</m:t>
            </m:r>
          </m:sub>
        </m:sSub>
      </m:oMath>
      <w:r>
        <w:t xml:space="preserve"> des Lade</w:t>
      </w:r>
      <w:r w:rsidR="006A5AA0">
        <w:t>geräts gewählt werden:</w:t>
      </w:r>
    </w:p>
    <w:p w14:paraId="4C223F10" w14:textId="15352FFE" w:rsidR="006A5AA0" w:rsidRDefault="00F92EBF" w:rsidP="006A5AA0">
      <w:pPr>
        <w:pStyle w:val="Listenabsatz"/>
      </w:pPr>
      <m:oMathPara>
        <m:oMath>
          <m:sSub>
            <m:sSubPr>
              <m:ctrlPr>
                <w:rPr>
                  <w:rFonts w:ascii="Cambria Math" w:hAnsi="Cambria Math"/>
                  <w:i/>
                </w:rPr>
              </m:ctrlPr>
            </m:sSubPr>
            <m:e>
              <m:r>
                <w:rPr>
                  <w:rFonts w:ascii="Cambria Math" w:hAnsi="Cambria Math"/>
                </w:rPr>
                <m:t>l</m:t>
              </m:r>
            </m:e>
            <m:sub>
              <m:r>
                <w:rPr>
                  <w:rFonts w:ascii="Cambria Math" w:hAnsi="Cambria Math"/>
                </w:rPr>
                <m:t>gas</m:t>
              </m:r>
            </m:sub>
          </m:sSub>
          <m:r>
            <w:rPr>
              <w:rFonts w:ascii="Cambria Math" w:hAnsi="Cambria Math"/>
            </w:rPr>
            <m:t>0,4*</m:t>
          </m:r>
          <m:sSub>
            <m:sSubPr>
              <m:ctrlPr>
                <w:rPr>
                  <w:rFonts w:ascii="Cambria Math" w:hAnsi="Cambria Math"/>
                  <w:i/>
                </w:rPr>
              </m:ctrlPr>
            </m:sSubPr>
            <m:e>
              <m:r>
                <w:rPr>
                  <w:rFonts w:ascii="Cambria Math" w:hAnsi="Cambria Math"/>
                </w:rPr>
                <m:t>l</m:t>
              </m:r>
            </m:e>
            <m:sub>
              <m:r>
                <w:rPr>
                  <w:rFonts w:ascii="Cambria Math" w:hAnsi="Cambria Math"/>
                </w:rPr>
                <m:t>n</m:t>
              </m:r>
            </m:sub>
          </m:sSub>
          <m:r>
            <w:rPr>
              <w:rFonts w:ascii="Cambria Math" w:hAnsi="Cambria Math"/>
            </w:rPr>
            <m:t>[A]</m:t>
          </m:r>
        </m:oMath>
      </m:oMathPara>
    </w:p>
    <w:p w14:paraId="29F9CAB0" w14:textId="58F41A60" w:rsidR="00610F60" w:rsidRPr="001C751F" w:rsidRDefault="006A5AA0" w:rsidP="001C751F">
      <w:pPr>
        <w:pStyle w:val="Listenabsatz"/>
      </w:pPr>
      <w:r>
        <w:t xml:space="preserve">ANMERKUNG 2: Eine 48-V-Blei-Säure-Antriebsbatterie, bestehend aus 24 Zellen, wird von einem ungeregelten Ladegerät geladen, dass eine Ausgangsleitung von 48 V/100 A bereitstellt. Gemäß obigen Festlegungen beträgt der Wert </w:t>
      </w:r>
      <m:oMath>
        <m:sSub>
          <m:sSubPr>
            <m:ctrlPr>
              <w:rPr>
                <w:rFonts w:ascii="Cambria Math" w:hAnsi="Cambria Math"/>
                <w:i/>
              </w:rPr>
            </m:ctrlPr>
          </m:sSubPr>
          <m:e>
            <m:r>
              <w:rPr>
                <w:rFonts w:ascii="Cambria Math" w:hAnsi="Cambria Math"/>
              </w:rPr>
              <m:t>l</m:t>
            </m:r>
          </m:e>
          <m:sub>
            <m:r>
              <w:rPr>
                <w:rFonts w:ascii="Cambria Math" w:hAnsi="Cambria Math"/>
              </w:rPr>
              <m:t>gas</m:t>
            </m:r>
          </m:sub>
        </m:sSub>
        <m:r>
          <w:rPr>
            <w:rFonts w:ascii="Cambria Math" w:hAnsi="Cambria Math"/>
          </w:rPr>
          <m:t>=0,4*100=40 A</m:t>
        </m:r>
      </m:oMath>
      <w:r>
        <w:t>. Für den Bedarf des notwendigen Luftvolumenstroms bei 25°C ergibt sich somit</w:t>
      </w:r>
      <w:r w:rsidR="001C751F">
        <w:t xml:space="preserve"> </w:t>
      </w:r>
      <m:oMath>
        <m:r>
          <w:rPr>
            <w:rFonts w:ascii="Cambria Math" w:hAnsi="Cambria Math"/>
          </w:rPr>
          <m:t>Q=0,055*24*40=52,8[</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h</m:t>
            </m:r>
          </m:den>
        </m:f>
        <m:r>
          <w:rPr>
            <w:rFonts w:ascii="Cambria Math" w:hAnsi="Cambria Math"/>
          </w:rPr>
          <m:t>]</m:t>
        </m:r>
      </m:oMath>
      <w:r w:rsidR="00CD5522">
        <w:t xml:space="preserve"> </w:t>
      </w:r>
    </w:p>
    <w:p w14:paraId="48258C27" w14:textId="12E7862D" w:rsidR="001C751F" w:rsidRDefault="001C751F">
      <w:r>
        <w:br w:type="page"/>
      </w:r>
    </w:p>
    <w:tbl>
      <w:tblPr>
        <w:tblW w:w="959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96"/>
      </w:tblGrid>
      <w:tr w:rsidR="006C3C10" w:rsidRPr="004A2C36" w14:paraId="27D6C722" w14:textId="77777777">
        <w:trPr>
          <w:cantSplit/>
        </w:trPr>
        <w:tc>
          <w:tcPr>
            <w:tcW w:w="9596" w:type="dxa"/>
            <w:tcBorders>
              <w:top w:val="single" w:sz="4" w:space="0" w:color="auto"/>
              <w:left w:val="single" w:sz="4" w:space="0" w:color="auto"/>
              <w:bottom w:val="single" w:sz="4" w:space="0" w:color="auto"/>
              <w:right w:val="single" w:sz="4" w:space="0" w:color="auto"/>
            </w:tcBorders>
            <w:vAlign w:val="center"/>
          </w:tcPr>
          <w:p w14:paraId="09AF5EDC" w14:textId="79CA33F8" w:rsidR="006C3C10" w:rsidRPr="004A2C36" w:rsidRDefault="006C3C10" w:rsidP="00264A14">
            <w:pPr>
              <w:pStyle w:val="berschrift2"/>
            </w:pPr>
            <w:bookmarkStart w:id="36" w:name="_Toc54433086"/>
            <w:bookmarkStart w:id="37" w:name="_Toc54440149"/>
            <w:bookmarkStart w:id="38" w:name="_Toc54595567"/>
            <w:r w:rsidRPr="004A2C36">
              <w:lastRenderedPageBreak/>
              <w:t>Verhinderung oder Einschränkung der Bildung bzw. Überwachung der Konzentration in explosionsgefährdeten Bereiche</w:t>
            </w:r>
            <w:r w:rsidR="00855044">
              <w:t>n</w:t>
            </w:r>
            <w:bookmarkEnd w:id="36"/>
            <w:bookmarkEnd w:id="37"/>
            <w:bookmarkEnd w:id="38"/>
            <w:r w:rsidRPr="004A2C36">
              <w:tab/>
            </w:r>
          </w:p>
        </w:tc>
      </w:tr>
    </w:tbl>
    <w:p w14:paraId="58435305" w14:textId="31ED99A0" w:rsidR="002A5EEA" w:rsidRDefault="002A5EEA" w:rsidP="00264A14">
      <w:pPr>
        <w:pStyle w:val="berschrift3"/>
      </w:pPr>
      <w:bookmarkStart w:id="39" w:name="_Toc54433087"/>
      <w:bookmarkStart w:id="40" w:name="_Toc54440150"/>
      <w:bookmarkStart w:id="41" w:name="_Toc54595568"/>
      <w:r w:rsidRPr="00684173">
        <w:t xml:space="preserve">Natürliche Lüftung </w:t>
      </w:r>
      <w:r w:rsidR="00242C69">
        <w:t>–</w:t>
      </w:r>
      <w:r w:rsidRPr="00684173">
        <w:t xml:space="preserve"> Bedingungen</w:t>
      </w:r>
      <w:bookmarkEnd w:id="39"/>
      <w:bookmarkEnd w:id="40"/>
      <w:bookmarkEnd w:id="41"/>
      <w:r w:rsidR="00242C69">
        <w:t xml:space="preserve"> (A)</w:t>
      </w:r>
    </w:p>
    <w:p w14:paraId="29D4C261" w14:textId="4445BA6D" w:rsidR="002A5EEA" w:rsidRDefault="002A5EEA" w:rsidP="00264A14">
      <w:r>
        <w:t xml:space="preserve">Als Richtwert erfordern Batterieladeräume und Batterieladestellen Zuluft- und Abluftöffnungen jeweils mit einem mindesten freien Öffnungsquerschnitt, der </w:t>
      </w:r>
      <w:r w:rsidR="00903289">
        <w:t xml:space="preserve">mit der </w:t>
      </w:r>
      <w:r w:rsidR="008473A0">
        <w:t>nachfolgenden</w:t>
      </w:r>
      <w:r>
        <w:t xml:space="preserve"> Formel berechnet wird und darauf basiert, dass der natürliche Luftstrom in den Zuluft- und Abluftöffnungen mindestens 0,1 [m/s] beträgt:</w:t>
      </w:r>
    </w:p>
    <w:p w14:paraId="420DD046" w14:textId="5EC25711" w:rsidR="00791577" w:rsidRPr="00791577" w:rsidRDefault="00791577" w:rsidP="00264A14">
      <m:oMathPara>
        <m:oMath>
          <m:r>
            <w:rPr>
              <w:rFonts w:ascii="Cambria Math" w:hAnsi="Cambria Math"/>
            </w:rPr>
            <m:t>A=28*Q</m:t>
          </m:r>
        </m:oMath>
      </m:oMathPara>
    </w:p>
    <w:p w14:paraId="60930BA7" w14:textId="1B4938A7" w:rsidR="00791577" w:rsidRDefault="00791577" w:rsidP="00264A14">
      <w:r>
        <w:t>Dabei ist:</w:t>
      </w:r>
    </w:p>
    <w:p w14:paraId="084A6885" w14:textId="3DC0899D" w:rsidR="00791577" w:rsidRPr="00791577" w:rsidRDefault="00791577" w:rsidP="00264A14">
      <m:oMathPara>
        <m:oMathParaPr>
          <m:jc m:val="left"/>
        </m:oMathParaPr>
        <m:oMath>
          <m:r>
            <w:rPr>
              <w:rFonts w:ascii="Cambria Math" w:hAnsi="Cambria Math"/>
            </w:rPr>
            <m:t xml:space="preserve">Q </m:t>
          </m:r>
          <m:r>
            <m:rPr>
              <m:nor/>
            </m:rPr>
            <w:rPr>
              <w:rFonts w:ascii="Cambria Math" w:hAnsi="Cambria Math"/>
            </w:rPr>
            <m:t>der erforderliche Luftvolumenstrom in</m:t>
          </m:r>
          <m:f>
            <m:fPr>
              <m:ctrlPr>
                <w:rPr>
                  <w:rFonts w:ascii="Cambria Math" w:hAnsi="Cambria Math"/>
                  <w:i/>
                </w:rPr>
              </m:ctrlPr>
            </m:fPr>
            <m:num>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h</m:t>
              </m:r>
            </m:den>
          </m:f>
          <m:r>
            <w:rPr>
              <w:rFonts w:ascii="Cambria Math" w:hAnsi="Cambria Math"/>
            </w:rPr>
            <m:t>:</m:t>
          </m:r>
        </m:oMath>
      </m:oMathPara>
    </w:p>
    <w:p w14:paraId="5762EB56" w14:textId="5C4154AC" w:rsidR="00791577" w:rsidRPr="00791577" w:rsidRDefault="00791577" w:rsidP="00264A14">
      <m:oMathPara>
        <m:oMathParaPr>
          <m:jc m:val="left"/>
        </m:oMathParaPr>
        <m:oMath>
          <m:r>
            <w:rPr>
              <w:rFonts w:ascii="Cambria Math" w:hAnsi="Cambria Math"/>
            </w:rPr>
            <m:t>A d</m:t>
          </m:r>
          <m:r>
            <m:rPr>
              <m:nor/>
            </m:rPr>
            <w:rPr>
              <w:rFonts w:ascii="Cambria Math" w:hAnsi="Cambria Math"/>
            </w:rPr>
            <m:t>er freie Öffnungsquerschnitt der Zuluft- und Abluftöffnungen in</m:t>
          </m:r>
          <m:r>
            <w:rPr>
              <w:rFonts w:ascii="Cambria Math" w:hAnsi="Cambria Math"/>
            </w:rPr>
            <m:t xml:space="preserve"> </m:t>
          </m:r>
          <m:sSup>
            <m:sSupPr>
              <m:ctrlPr>
                <w:rPr>
                  <w:rFonts w:ascii="Cambria Math" w:hAnsi="Cambria Math"/>
                  <w:i/>
                </w:rPr>
              </m:ctrlPr>
            </m:sSupPr>
            <m:e>
              <m:r>
                <w:rPr>
                  <w:rFonts w:ascii="Cambria Math" w:hAnsi="Cambria Math"/>
                </w:rPr>
                <m:t>cm</m:t>
              </m:r>
            </m:e>
            <m:sup>
              <m:r>
                <w:rPr>
                  <w:rFonts w:ascii="Cambria Math" w:hAnsi="Cambria Math"/>
                </w:rPr>
                <m:t>2</m:t>
              </m:r>
            </m:sup>
          </m:sSup>
          <m:r>
            <w:rPr>
              <w:rFonts w:ascii="Cambria Math" w:hAnsi="Cambria Math"/>
            </w:rPr>
            <m:t>.</m:t>
          </m:r>
        </m:oMath>
      </m:oMathPara>
    </w:p>
    <w:p w14:paraId="5A8A0F47" w14:textId="053016E8" w:rsidR="00791577" w:rsidRDefault="00791577" w:rsidP="00264A14">
      <w:r>
        <w:t>Die Zuluft- und Abluftöffnungen müssen an möglichst günstiger Stelle für den Luftaustausch angebracht werden, d. h. mit</w:t>
      </w:r>
    </w:p>
    <w:p w14:paraId="3540FA7C" w14:textId="50ED31CB" w:rsidR="00791577" w:rsidRDefault="00791577" w:rsidP="00791577">
      <w:pPr>
        <w:pStyle w:val="Listenabsatz"/>
        <w:numPr>
          <w:ilvl w:val="0"/>
          <w:numId w:val="10"/>
        </w:numPr>
      </w:pPr>
      <w:r>
        <w:t>Öffnungen an gegenüberliegenden Wänden,</w:t>
      </w:r>
    </w:p>
    <w:p w14:paraId="6231DBBA" w14:textId="38D4A51A" w:rsidR="002A5EEA" w:rsidRDefault="00791577" w:rsidP="00264A14">
      <w:pPr>
        <w:pStyle w:val="Listenabsatz"/>
        <w:numPr>
          <w:ilvl w:val="0"/>
          <w:numId w:val="10"/>
        </w:numPr>
      </w:pPr>
      <w:r>
        <w:t>in einem Mindestabstand von 2 m, wenn die Öffnungen an derselben Wand liegen.</w:t>
      </w:r>
    </w:p>
    <w:p w14:paraId="2DC75C44" w14:textId="77777777" w:rsidR="002A5EEA" w:rsidRDefault="002A5EEA" w:rsidP="00264A14"/>
    <w:p w14:paraId="542B738B" w14:textId="77777777" w:rsidR="002A5EEA" w:rsidRDefault="002A5EEA" w:rsidP="00264A14">
      <w:r>
        <w:t xml:space="preserve">Insbesondere sollte darauf geachtet werden, dass ausreichende Lüftung im Nahbereich der aufzuladenden Batterien vorhanden ist. In natürlich belüfteten Laderäumen oder an Ladestellen mit einem freien Volumen von mindestens 2,5 </w:t>
      </w:r>
      <w:r>
        <w:rPr>
          <w:rFonts w:ascii="Cambria Math" w:hAnsi="Cambria Math" w:cs="Cambria Math"/>
        </w:rPr>
        <w:t>⋅</w:t>
      </w:r>
      <w:r>
        <w:rPr>
          <w:rFonts w:ascii="SymbolMT" w:hAnsi="SymbolMT" w:cs="SymbolMT"/>
        </w:rPr>
        <w:t xml:space="preserve"> </w:t>
      </w:r>
      <w:r>
        <w:rPr>
          <w:rFonts w:ascii="TimesNewRomanPS-ItalicMT" w:hAnsi="TimesNewRomanPS-ItalicMT" w:cs="TimesNewRomanPS-ItalicMT"/>
          <w:i/>
          <w:iCs/>
        </w:rPr>
        <w:t xml:space="preserve">Q </w:t>
      </w:r>
      <w:r>
        <w:t>[m</w:t>
      </w:r>
      <w:r>
        <w:rPr>
          <w:sz w:val="16"/>
          <w:szCs w:val="16"/>
        </w:rPr>
        <w:t>3</w:t>
      </w:r>
      <w:r>
        <w:t>] ist keine Zwangsbelüftung erforderlich, es sei denn, besondere technische oder umwelthygienische Gründe erfordern dies.</w:t>
      </w:r>
    </w:p>
    <w:p w14:paraId="21FC8958" w14:textId="77777777" w:rsidR="002A5EEA" w:rsidRDefault="002A5EEA" w:rsidP="00264A14"/>
    <w:p w14:paraId="702DB362" w14:textId="77777777" w:rsidR="002A5EEA" w:rsidRDefault="002A5EEA" w:rsidP="00264A14">
      <w:r>
        <w:t>Die Abluft von Batterieladestellen oder Batterieräumen ist nach außen ins Freie außerhalb des Gebäudes zu führen.</w:t>
      </w:r>
    </w:p>
    <w:p w14:paraId="6A405C6B" w14:textId="797CBCEE" w:rsidR="002A5EEA" w:rsidRPr="00684173" w:rsidRDefault="002A5EEA" w:rsidP="00264A14">
      <w:pPr>
        <w:pStyle w:val="berschrift3"/>
      </w:pPr>
      <w:bookmarkStart w:id="42" w:name="_Toc54433088"/>
      <w:bookmarkStart w:id="43" w:name="_Toc54440151"/>
      <w:bookmarkStart w:id="44" w:name="_Toc54595569"/>
      <w:r w:rsidRPr="00684173">
        <w:t xml:space="preserve">Technische Lüftung </w:t>
      </w:r>
      <w:r w:rsidR="00242C69">
        <w:t>–</w:t>
      </w:r>
      <w:r w:rsidRPr="00684173">
        <w:t xml:space="preserve"> Bedingungen</w:t>
      </w:r>
      <w:bookmarkEnd w:id="42"/>
      <w:bookmarkEnd w:id="43"/>
      <w:bookmarkEnd w:id="44"/>
      <w:r w:rsidR="00242C69">
        <w:t xml:space="preserve"> (B)</w:t>
      </w:r>
    </w:p>
    <w:p w14:paraId="4226536E" w14:textId="77777777" w:rsidR="002A5EEA" w:rsidRDefault="002A5EEA" w:rsidP="00264A14">
      <w:r>
        <w:t xml:space="preserve">Wenn der Luftvolumenstrom </w:t>
      </w:r>
      <w:r>
        <w:rPr>
          <w:rFonts w:ascii="TimesNewRomanPS-ItalicMT" w:hAnsi="TimesNewRomanPS-ItalicMT" w:cs="TimesNewRomanPS-ItalicMT"/>
          <w:i/>
          <w:iCs/>
        </w:rPr>
        <w:t xml:space="preserve">Q </w:t>
      </w:r>
      <w:r>
        <w:t>mit natürlicher Lüftung nicht erreicht werden kann und Zwangsbelüftung durchgeführt wird, muss eine gegenseitige Verriegelung von Ladegerät und Belüftungssystem vorhanden sein oder es muss ein Alarm ausgelöst werden, wenn die erforderliche Luftströmung für die ausgewählte Ladebetriebsart nicht gewährleistet werden kann.</w:t>
      </w:r>
    </w:p>
    <w:p w14:paraId="535B85A4" w14:textId="77777777" w:rsidR="002A5EEA" w:rsidRDefault="002A5EEA" w:rsidP="00264A14">
      <w:r>
        <w:t>Die durch Zwangslüftung erzeugte Luftbewegung muss an festgelegten Ladestellenbereichen messbar sein und bei Inbetriebnahme aufgezeichnet werden, damit eine zur Sicherstellung der ordnungsgemäßen Funktionsweise in regelmäßigen Abständen vorgenommene Wiederholung der Prüfungen möglich ist. Die Häufigkeit der Wiederholungsprüfungen wird durch lokale Vorschriften der Landesbehörden vorgegeben.</w:t>
      </w:r>
    </w:p>
    <w:p w14:paraId="4634B1EE" w14:textId="77777777" w:rsidR="002A5EEA" w:rsidRDefault="002A5EEA" w:rsidP="00264A14">
      <w:r>
        <w:t>Die Abluft von den Batterieräumen ist nach außen ins Freie außerhalb des Gebäudes zu führen.</w:t>
      </w:r>
    </w:p>
    <w:p w14:paraId="6E9ACB9A" w14:textId="32BD70E0" w:rsidR="002A5EEA" w:rsidRPr="00583A23" w:rsidRDefault="002A5EEA" w:rsidP="00264A14">
      <w:pPr>
        <w:pStyle w:val="berschrift3"/>
      </w:pPr>
      <w:bookmarkStart w:id="45" w:name="_Toc54440152"/>
      <w:bookmarkStart w:id="46" w:name="_Toc54595570"/>
      <w:r w:rsidRPr="00583A23">
        <w:t>Nahbereich der Batterie</w:t>
      </w:r>
      <w:bookmarkEnd w:id="45"/>
      <w:bookmarkEnd w:id="46"/>
      <w:r w:rsidR="00242C69">
        <w:t xml:space="preserve"> (C)</w:t>
      </w:r>
    </w:p>
    <w:p w14:paraId="4381D279" w14:textId="77777777" w:rsidR="002A5EEA" w:rsidRDefault="002A5EEA" w:rsidP="00264A14">
      <w:r>
        <w:t xml:space="preserve">Im Nahbereich einer Batterie ist die Verdünnung der explosiven Gase nicht immer sichergestellt. Deshalb ist ein Sicherheitsabstand von </w:t>
      </w:r>
      <w:r w:rsidRPr="00583A23">
        <w:rPr>
          <w:b/>
          <w:bCs/>
        </w:rPr>
        <w:t>mindestens 0,5 m Luftstrecke</w:t>
      </w:r>
      <w:r>
        <w:t xml:space="preserve"> zu beachten, innerhalb dessen keine offenen Flammen, elektrostatische Entladung, Funken, Lichtbögen oder glühende Körper (max. Oberflächentemperatur 300 °C) auftreten dürfen.</w:t>
      </w:r>
    </w:p>
    <w:p w14:paraId="66744BCA" w14:textId="77777777" w:rsidR="002A5EEA" w:rsidRDefault="002A5EEA" w:rsidP="00264A14">
      <w:r>
        <w:t>Die Berechnung erfolgt in einem gesonderten Beiblatt (Excel)</w:t>
      </w:r>
    </w:p>
    <w:p w14:paraId="168C6A70" w14:textId="556119AB" w:rsidR="002A5EEA" w:rsidRDefault="002A5EEA" w:rsidP="00264A14">
      <w:pPr>
        <w:pStyle w:val="berschrift3"/>
      </w:pPr>
      <w:bookmarkStart w:id="47" w:name="_Toc54440153"/>
      <w:bookmarkStart w:id="48" w:name="_Toc54595571"/>
      <w:r>
        <w:t>Belüftung von Batterie</w:t>
      </w:r>
      <w:r w:rsidR="0085719A">
        <w:t>umschließungen</w:t>
      </w:r>
      <w:r>
        <w:t xml:space="preserve"> (Fahrzeug- Chassis)</w:t>
      </w:r>
      <w:bookmarkEnd w:id="47"/>
      <w:bookmarkEnd w:id="48"/>
    </w:p>
    <w:p w14:paraId="23DC0D4D" w14:textId="77777777" w:rsidR="002A5EEA" w:rsidRDefault="002A5EEA" w:rsidP="00264A14">
      <w:r w:rsidRPr="00FA477B">
        <w:t>Wenn</w:t>
      </w:r>
      <w:r>
        <w:t xml:space="preserve"> entfernbare Abdeckungen für eine Batterie vorgesehen sind, sollen diese Abdeckungen möglichst vor Beginn der Ladung entfernt werden, damit die erzeugten Gase entweichen können und die Kühlung der Batterie unterstützt wird.</w:t>
      </w:r>
    </w:p>
    <w:p w14:paraId="4BF708CE" w14:textId="77777777" w:rsidR="002A5EEA" w:rsidRDefault="002A5EEA" w:rsidP="00264A14"/>
    <w:p w14:paraId="5F19ABC3" w14:textId="29E9E511" w:rsidR="002A5EEA" w:rsidRDefault="002A5EEA" w:rsidP="00264A14">
      <w:r>
        <w:t xml:space="preserve">Es müssen ausreichend große Lüftungsöffnungen am Batteriebehälter, im Einbauraum oder im Deckel vorgesehen sein, damit während einer Entladung oder bei Standzeiten keine gefährlichen </w:t>
      </w:r>
      <w:r>
        <w:lastRenderedPageBreak/>
        <w:t>Gasansammlungen auftreten, wenn das Gerät oder Fahrzeug entsprechend den Herstelleranweisungen betrieben wird.</w:t>
      </w:r>
    </w:p>
    <w:p w14:paraId="0D05797F" w14:textId="77777777" w:rsidR="002A5EEA" w:rsidRPr="00FA477B" w:rsidRDefault="002A5EEA" w:rsidP="00264A14"/>
    <w:tbl>
      <w:tblPr>
        <w:tblW w:w="959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77"/>
        <w:gridCol w:w="3619"/>
      </w:tblGrid>
      <w:tr w:rsidR="00583A23" w:rsidRPr="004A2C36" w14:paraId="710FC2D4" w14:textId="77777777" w:rsidTr="00583A23">
        <w:trPr>
          <w:cantSplit/>
        </w:trPr>
        <w:tc>
          <w:tcPr>
            <w:tcW w:w="5977" w:type="dxa"/>
            <w:tcBorders>
              <w:top w:val="single" w:sz="4" w:space="0" w:color="auto"/>
              <w:left w:val="single" w:sz="4" w:space="0" w:color="auto"/>
              <w:bottom w:val="single" w:sz="4" w:space="0" w:color="auto"/>
              <w:right w:val="single" w:sz="4" w:space="0" w:color="auto"/>
            </w:tcBorders>
            <w:vAlign w:val="center"/>
          </w:tcPr>
          <w:p w14:paraId="1FC63B7E" w14:textId="77777777" w:rsidR="002E6BDD" w:rsidRPr="002E6BDD" w:rsidRDefault="002E6BDD" w:rsidP="00264A14">
            <w:pPr>
              <w:rPr>
                <w:iCs/>
              </w:rPr>
            </w:pPr>
            <w:r w:rsidRPr="002E6BDD">
              <w:rPr>
                <w:iCs/>
              </w:rPr>
              <w:t>Der Lüftungsquerschnitt muss mindestens betragen:</w:t>
            </w:r>
          </w:p>
          <w:p w14:paraId="6C3F4018" w14:textId="6D0A9E98" w:rsidR="002E6BDD" w:rsidRPr="002E6BDD" w:rsidRDefault="002E6BDD" w:rsidP="00264A14">
            <w:pPr>
              <w:rPr>
                <w:rStyle w:val="Hervorhebung"/>
                <w:i w:val="0"/>
              </w:rPr>
            </w:pPr>
            <m:oMathPara>
              <m:oMath>
                <m:r>
                  <m:rPr>
                    <m:sty m:val="p"/>
                  </m:rPr>
                  <w:rPr>
                    <w:rStyle w:val="Hervorhebung"/>
                    <w:rFonts w:ascii="Cambria Math" w:hAnsi="Cambria Math"/>
                  </w:rPr>
                  <m:t>A=0,005*n*</m:t>
                </m:r>
                <m:sSub>
                  <m:sSubPr>
                    <m:ctrlPr>
                      <w:rPr>
                        <w:rStyle w:val="Hervorhebung"/>
                        <w:rFonts w:ascii="Cambria Math" w:hAnsi="Cambria Math"/>
                        <w:i w:val="0"/>
                        <w:iCs w:val="0"/>
                      </w:rPr>
                    </m:ctrlPr>
                  </m:sSubPr>
                  <m:e>
                    <m:r>
                      <m:rPr>
                        <m:sty m:val="p"/>
                      </m:rPr>
                      <w:rPr>
                        <w:rStyle w:val="Hervorhebung"/>
                        <w:rFonts w:ascii="Cambria Math" w:hAnsi="Cambria Math"/>
                      </w:rPr>
                      <m:t>C</m:t>
                    </m:r>
                  </m:e>
                  <m:sub>
                    <m:r>
                      <m:rPr>
                        <m:sty m:val="p"/>
                      </m:rPr>
                      <w:rPr>
                        <w:rStyle w:val="Hervorhebung"/>
                        <w:rFonts w:ascii="Cambria Math" w:hAnsi="Cambria Math"/>
                      </w:rPr>
                      <m:t>5</m:t>
                    </m:r>
                  </m:sub>
                </m:sSub>
                <m:r>
                  <m:rPr>
                    <m:sty m:val="p"/>
                  </m:rPr>
                  <w:rPr>
                    <w:rStyle w:val="Hervorhebung"/>
                    <w:rFonts w:ascii="Cambria Math" w:hAnsi="Cambria Math"/>
                  </w:rPr>
                  <m:t>[</m:t>
                </m:r>
                <m:sSup>
                  <m:sSupPr>
                    <m:ctrlPr>
                      <w:rPr>
                        <w:rStyle w:val="Hervorhebung"/>
                        <w:rFonts w:ascii="Cambria Math" w:hAnsi="Cambria Math"/>
                        <w:i w:val="0"/>
                        <w:iCs w:val="0"/>
                      </w:rPr>
                    </m:ctrlPr>
                  </m:sSupPr>
                  <m:e>
                    <m:r>
                      <m:rPr>
                        <m:sty m:val="p"/>
                      </m:rPr>
                      <w:rPr>
                        <w:rStyle w:val="Hervorhebung"/>
                        <w:rFonts w:ascii="Cambria Math" w:hAnsi="Cambria Math"/>
                      </w:rPr>
                      <m:t>cm</m:t>
                    </m:r>
                  </m:e>
                  <m:sup>
                    <m:r>
                      <m:rPr>
                        <m:sty m:val="p"/>
                      </m:rPr>
                      <w:rPr>
                        <w:rStyle w:val="Hervorhebung"/>
                        <w:rFonts w:ascii="Cambria Math" w:hAnsi="Cambria Math"/>
                      </w:rPr>
                      <m:t>2</m:t>
                    </m:r>
                  </m:sup>
                </m:sSup>
                <m:r>
                  <m:rPr>
                    <m:sty m:val="p"/>
                  </m:rPr>
                  <w:rPr>
                    <w:rStyle w:val="Hervorhebung"/>
                    <w:rFonts w:ascii="Cambria Math" w:hAnsi="Cambria Math"/>
                  </w:rPr>
                  <m:t>]</m:t>
                </m:r>
              </m:oMath>
            </m:oMathPara>
          </w:p>
          <w:p w14:paraId="3DCB0BCB" w14:textId="3960F97A" w:rsidR="002E6BDD" w:rsidRDefault="002E6BDD" w:rsidP="002E6BDD">
            <w:pPr>
              <w:jc w:val="both"/>
              <w:rPr>
                <w:rStyle w:val="Hervorhebung"/>
                <w:i w:val="0"/>
              </w:rPr>
            </w:pPr>
            <w:r w:rsidRPr="002E6BDD">
              <w:rPr>
                <w:rStyle w:val="Hervorhebung"/>
                <w:i w:val="0"/>
              </w:rPr>
              <w:t>Dabei ist:</w:t>
            </w:r>
          </w:p>
          <w:p w14:paraId="42039426" w14:textId="4C4BE440" w:rsidR="002E6BDD" w:rsidRPr="002E6BDD" w:rsidRDefault="002E6BDD" w:rsidP="00264A14">
            <w:pPr>
              <w:rPr>
                <w:rStyle w:val="Hervorhebung"/>
                <w:i w:val="0"/>
                <w:iCs w:val="0"/>
              </w:rPr>
            </w:pPr>
            <m:oMathPara>
              <m:oMathParaPr>
                <m:jc m:val="left"/>
              </m:oMathParaPr>
              <m:oMath>
                <m:r>
                  <m:rPr>
                    <m:sty m:val="p"/>
                  </m:rPr>
                  <w:rPr>
                    <w:rStyle w:val="Hervorhebung"/>
                    <w:rFonts w:ascii="Cambria Math" w:hAnsi="Cambria Math"/>
                  </w:rPr>
                  <m:t>A d</m:t>
                </m:r>
                <m:r>
                  <m:rPr>
                    <m:nor/>
                  </m:rPr>
                  <w:rPr>
                    <w:rStyle w:val="Hervorhebung"/>
                    <w:rFonts w:ascii="Cambria Math" w:hAnsi="Cambria Math"/>
                    <w:i w:val="0"/>
                    <w:iCs w:val="0"/>
                  </w:rPr>
                  <m:t xml:space="preserve">ie Querschnittfläche aller erforderlichen </m:t>
                </m:r>
                <m:r>
                  <m:rPr>
                    <m:nor/>
                  </m:rPr>
                  <w:rPr>
                    <w:rStyle w:val="Hervorhebung"/>
                    <w:rFonts w:ascii="Cambria Math" w:hAnsi="Cambria Math"/>
                    <w:i w:val="0"/>
                    <w:iCs w:val="0"/>
                  </w:rPr>
                  <w:br w:type="textWrapping" w:clear="all"/>
                </m:r>
              </m:oMath>
              <m:oMath>
                <m:r>
                  <m:rPr>
                    <m:nor/>
                  </m:rPr>
                  <w:rPr>
                    <w:rStyle w:val="Hervorhebung"/>
                    <w:rFonts w:ascii="Cambria Math" w:hAnsi="Cambria Math"/>
                    <w:i w:val="0"/>
                    <w:iCs w:val="0"/>
                  </w:rPr>
                  <m:t>Lüftungsöffnungen in</m:t>
                </m:r>
                <m:r>
                  <m:rPr>
                    <m:sty m:val="p"/>
                  </m:rPr>
                  <w:rPr>
                    <w:rStyle w:val="Hervorhebung"/>
                    <w:rFonts w:ascii="Cambria Math" w:hAnsi="Cambria Math"/>
                  </w:rPr>
                  <m:t xml:space="preserve"> [</m:t>
                </m:r>
                <m:sSup>
                  <m:sSupPr>
                    <m:ctrlPr>
                      <w:rPr>
                        <w:rStyle w:val="Hervorhebung"/>
                        <w:rFonts w:ascii="Cambria Math" w:hAnsi="Cambria Math"/>
                        <w:i w:val="0"/>
                        <w:iCs w:val="0"/>
                      </w:rPr>
                    </m:ctrlPr>
                  </m:sSupPr>
                  <m:e>
                    <m:r>
                      <m:rPr>
                        <m:sty m:val="p"/>
                      </m:rPr>
                      <w:rPr>
                        <w:rStyle w:val="Hervorhebung"/>
                        <w:rFonts w:ascii="Cambria Math" w:hAnsi="Cambria Math"/>
                      </w:rPr>
                      <m:t>cm</m:t>
                    </m:r>
                  </m:e>
                  <m:sup>
                    <m:r>
                      <m:rPr>
                        <m:sty m:val="p"/>
                      </m:rPr>
                      <w:rPr>
                        <w:rStyle w:val="Hervorhebung"/>
                        <w:rFonts w:ascii="Cambria Math" w:hAnsi="Cambria Math"/>
                      </w:rPr>
                      <m:t>2</m:t>
                    </m:r>
                  </m:sup>
                </m:sSup>
                <m:r>
                  <m:rPr>
                    <m:sty m:val="p"/>
                  </m:rPr>
                  <w:rPr>
                    <w:rStyle w:val="Hervorhebung"/>
                    <w:rFonts w:ascii="Cambria Math" w:hAnsi="Cambria Math"/>
                  </w:rPr>
                  <m:t>];</m:t>
                </m:r>
              </m:oMath>
            </m:oMathPara>
          </w:p>
          <w:p w14:paraId="6EB057ED" w14:textId="7A74E326" w:rsidR="002E6BDD" w:rsidRPr="002E6BDD" w:rsidRDefault="002E6BDD" w:rsidP="00264A14">
            <w:pPr>
              <w:rPr>
                <w:rStyle w:val="Hervorhebung"/>
                <w:i w:val="0"/>
                <w:iCs w:val="0"/>
              </w:rPr>
            </w:pPr>
            <m:oMathPara>
              <m:oMathParaPr>
                <m:jc m:val="left"/>
              </m:oMathParaPr>
              <m:oMath>
                <m:r>
                  <m:rPr>
                    <m:sty m:val="p"/>
                  </m:rPr>
                  <w:rPr>
                    <w:rStyle w:val="Hervorhebung"/>
                    <w:rFonts w:ascii="Cambria Math" w:hAnsi="Cambria Math"/>
                  </w:rPr>
                  <m:t xml:space="preserve">n </m:t>
                </m:r>
                <m:r>
                  <m:rPr>
                    <m:nor/>
                  </m:rPr>
                  <w:rPr>
                    <w:rStyle w:val="Hervorhebung"/>
                    <w:rFonts w:ascii="Cambria Math" w:hAnsi="Cambria Math"/>
                    <w:i w:val="0"/>
                    <w:iCs w:val="0"/>
                  </w:rPr>
                  <m:t>die Anzahl der Zellen in der Batterie;</m:t>
                </m:r>
              </m:oMath>
            </m:oMathPara>
          </w:p>
          <w:p w14:paraId="5D825D20" w14:textId="1C886B61" w:rsidR="002E6BDD" w:rsidRPr="002E6BDD" w:rsidRDefault="00F92EBF" w:rsidP="00264A14">
            <w:pPr>
              <w:rPr>
                <w:rStyle w:val="Hervorhebung"/>
                <w:i w:val="0"/>
              </w:rPr>
            </w:pPr>
            <m:oMathPara>
              <m:oMathParaPr>
                <m:jc m:val="left"/>
              </m:oMathParaPr>
              <m:oMath>
                <m:sSub>
                  <m:sSubPr>
                    <m:ctrlPr>
                      <w:rPr>
                        <w:rStyle w:val="Hervorhebung"/>
                        <w:rFonts w:ascii="Cambria Math" w:hAnsi="Cambria Math"/>
                        <w:i w:val="0"/>
                        <w:iCs w:val="0"/>
                      </w:rPr>
                    </m:ctrlPr>
                  </m:sSubPr>
                  <m:e>
                    <m:r>
                      <m:rPr>
                        <m:sty m:val="p"/>
                      </m:rPr>
                      <w:rPr>
                        <w:rStyle w:val="Hervorhebung"/>
                        <w:rFonts w:ascii="Cambria Math" w:hAnsi="Cambria Math"/>
                      </w:rPr>
                      <m:t>C</m:t>
                    </m:r>
                  </m:e>
                  <m:sub>
                    <m:r>
                      <m:rPr>
                        <m:sty m:val="p"/>
                      </m:rPr>
                      <w:rPr>
                        <w:rStyle w:val="Hervorhebung"/>
                        <w:rFonts w:ascii="Cambria Math" w:hAnsi="Cambria Math"/>
                      </w:rPr>
                      <m:t>5</m:t>
                    </m:r>
                  </m:sub>
                </m:sSub>
                <m:r>
                  <m:rPr>
                    <m:sty m:val="p"/>
                  </m:rPr>
                  <w:rPr>
                    <w:rStyle w:val="Hervorhebung"/>
                    <w:rFonts w:ascii="Cambria Math" w:hAnsi="Cambria Math"/>
                  </w:rPr>
                  <m:t xml:space="preserve"> </m:t>
                </m:r>
                <m:r>
                  <m:rPr>
                    <m:nor/>
                  </m:rPr>
                  <w:rPr>
                    <w:rStyle w:val="Hervorhebung"/>
                    <w:rFonts w:ascii="Cambria Math" w:hAnsi="Cambria Math"/>
                    <w:i w:val="0"/>
                    <w:iCs w:val="0"/>
                  </w:rPr>
                  <m:t xml:space="preserve">die 5-stündige Kapazität der Batterie in </m:t>
                </m:r>
                <m:r>
                  <m:rPr>
                    <m:sty m:val="p"/>
                  </m:rPr>
                  <w:rPr>
                    <w:rStyle w:val="Hervorhebung"/>
                    <w:rFonts w:ascii="Cambria Math" w:hAnsi="Cambria Math"/>
                  </w:rPr>
                  <m:t>Ah.</m:t>
                </m:r>
              </m:oMath>
            </m:oMathPara>
          </w:p>
          <w:p w14:paraId="62BDF4B2" w14:textId="597E4B7A" w:rsidR="00583A23" w:rsidRPr="00FA477B" w:rsidRDefault="00583A23" w:rsidP="00264A14">
            <w:pPr>
              <w:rPr>
                <w:rStyle w:val="Hervorhebung"/>
              </w:rPr>
            </w:pPr>
          </w:p>
        </w:tc>
        <w:tc>
          <w:tcPr>
            <w:tcW w:w="3619" w:type="dxa"/>
            <w:tcBorders>
              <w:top w:val="single" w:sz="4" w:space="0" w:color="auto"/>
              <w:left w:val="single" w:sz="4" w:space="0" w:color="auto"/>
              <w:bottom w:val="single" w:sz="4" w:space="0" w:color="auto"/>
              <w:right w:val="single" w:sz="4" w:space="0" w:color="auto"/>
            </w:tcBorders>
            <w:vAlign w:val="center"/>
          </w:tcPr>
          <w:p w14:paraId="79C943FD" w14:textId="42A54310" w:rsidR="00D150AA" w:rsidRDefault="00D150AA" w:rsidP="00264A14">
            <w:pPr>
              <w:rPr>
                <w:rStyle w:val="Hervorhebung"/>
                <w:noProof/>
                <w:lang w:val="de-AT" w:eastAsia="de-AT"/>
              </w:rPr>
            </w:pPr>
            <w:r w:rsidRPr="00FA477B">
              <w:rPr>
                <w:rStyle w:val="Hervorhebung"/>
                <w:noProof/>
                <w:lang w:val="de-AT" w:eastAsia="de-AT"/>
              </w:rPr>
              <w:drawing>
                <wp:inline distT="0" distB="0" distL="0" distR="0" wp14:anchorId="590A8BDC" wp14:editId="04A468F7">
                  <wp:extent cx="2204720" cy="1985645"/>
                  <wp:effectExtent l="0" t="0" r="5080" b="0"/>
                  <wp:docPr id="8" name="Grafik 8" title="Geschlossene Batt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4720" cy="1985645"/>
                          </a:xfrm>
                          <a:prstGeom prst="rect">
                            <a:avLst/>
                          </a:prstGeom>
                          <a:noFill/>
                          <a:ln>
                            <a:noFill/>
                          </a:ln>
                        </pic:spPr>
                      </pic:pic>
                    </a:graphicData>
                  </a:graphic>
                </wp:inline>
              </w:drawing>
            </w:r>
          </w:p>
          <w:p w14:paraId="193F8658" w14:textId="77777777" w:rsidR="00D150AA" w:rsidRDefault="00D150AA" w:rsidP="00264A14">
            <w:pPr>
              <w:rPr>
                <w:rStyle w:val="Hervorhebung"/>
                <w:noProof/>
                <w:lang w:val="de-AT" w:eastAsia="de-AT"/>
              </w:rPr>
            </w:pPr>
          </w:p>
          <w:p w14:paraId="6031C998" w14:textId="5FFE85F9" w:rsidR="00583A23" w:rsidRPr="00FA477B" w:rsidRDefault="00D150AA" w:rsidP="00D150AA">
            <w:pPr>
              <w:rPr>
                <w:rStyle w:val="Hervorhebung"/>
              </w:rPr>
            </w:pPr>
            <w:r>
              <w:t>© Grafikstudio F. Hutter</w:t>
            </w:r>
          </w:p>
        </w:tc>
      </w:tr>
    </w:tbl>
    <w:p w14:paraId="2EFF7005" w14:textId="2CB89BD0" w:rsidR="00A73D55" w:rsidRDefault="00A73D55" w:rsidP="00264A14"/>
    <w:p w14:paraId="413E34DB" w14:textId="77777777" w:rsidR="00A73D55" w:rsidRDefault="00A73D55" w:rsidP="00264A14">
      <w:r>
        <w:br w:type="page"/>
      </w:r>
    </w:p>
    <w:p w14:paraId="0B8FF50D" w14:textId="205B473B" w:rsidR="00C2304B" w:rsidRDefault="00684173" w:rsidP="00264A14">
      <w:pPr>
        <w:pStyle w:val="berschrift2"/>
      </w:pPr>
      <w:bookmarkStart w:id="49" w:name="_Toc54433089"/>
      <w:bookmarkStart w:id="50" w:name="_Toc54440154"/>
      <w:bookmarkStart w:id="51" w:name="_Toc54595572"/>
      <w:r>
        <w:lastRenderedPageBreak/>
        <w:t>Datenerfassung</w:t>
      </w:r>
      <w:bookmarkEnd w:id="49"/>
      <w:bookmarkEnd w:id="50"/>
      <w:bookmarkEnd w:id="51"/>
      <w:r>
        <w:t xml:space="preserve"> </w:t>
      </w:r>
    </w:p>
    <w:p w14:paraId="6A515769" w14:textId="528B8ED7" w:rsidR="00A71BDC" w:rsidRPr="00A71BDC" w:rsidRDefault="00FA477B" w:rsidP="00264A14">
      <w:pPr>
        <w:pStyle w:val="berschrift3"/>
      </w:pPr>
      <w:bookmarkStart w:id="52" w:name="_Toc54440155"/>
      <w:bookmarkStart w:id="53" w:name="_Toc54595573"/>
      <w:r w:rsidRPr="00150088">
        <w:t>Fahrzeugaufstellung</w:t>
      </w:r>
      <w:bookmarkEnd w:id="52"/>
      <w:bookmarkEnd w:id="53"/>
      <w:r w:rsidRPr="00150088">
        <w:t xml:space="preserve"> </w:t>
      </w:r>
    </w:p>
    <w:p w14:paraId="626A022B" w14:textId="4BA4A6A2" w:rsidR="00FA477B" w:rsidRPr="00150088" w:rsidRDefault="00FA477B" w:rsidP="00264A14">
      <w:pPr>
        <w:rPr>
          <w:rFonts w:ascii="ArialMT" w:hAnsi="ArialMT" w:cs="ArialMT"/>
          <w:sz w:val="20"/>
          <w:szCs w:val="20"/>
          <w:lang w:val="de-AT" w:eastAsia="de-AT"/>
        </w:rPr>
      </w:pPr>
      <w:r w:rsidRPr="00150088">
        <w:rPr>
          <w:lang w:val="de-AT" w:eastAsia="de-AT"/>
        </w:rPr>
        <w:t>(alle Fahrzeuge</w:t>
      </w:r>
      <w:r w:rsidR="008473A0">
        <w:rPr>
          <w:lang w:val="de-AT" w:eastAsia="de-AT"/>
        </w:rPr>
        <w:t>,</w:t>
      </w:r>
      <w:r w:rsidRPr="00150088">
        <w:rPr>
          <w:lang w:val="de-AT" w:eastAsia="de-AT"/>
        </w:rPr>
        <w:t xml:space="preserve"> die an diesem Standort – in diesem Raum geladen werden)</w:t>
      </w:r>
    </w:p>
    <w:tbl>
      <w:tblPr>
        <w:tblStyle w:val="Tabellen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2"/>
        <w:gridCol w:w="910"/>
        <w:gridCol w:w="1040"/>
        <w:gridCol w:w="1859"/>
        <w:gridCol w:w="1630"/>
        <w:gridCol w:w="1256"/>
      </w:tblGrid>
      <w:tr w:rsidR="00FA477B" w14:paraId="5AE86BE4" w14:textId="77777777" w:rsidTr="00242C69">
        <w:trPr>
          <w:cantSplit/>
          <w:trHeight w:val="1979"/>
        </w:trPr>
        <w:tc>
          <w:tcPr>
            <w:tcW w:w="2772" w:type="dxa"/>
            <w:tcBorders>
              <w:top w:val="single" w:sz="12" w:space="0" w:color="auto"/>
              <w:left w:val="single" w:sz="12" w:space="0" w:color="auto"/>
              <w:bottom w:val="single" w:sz="4" w:space="0" w:color="auto"/>
              <w:right w:val="single" w:sz="4" w:space="0" w:color="auto"/>
            </w:tcBorders>
            <w:vAlign w:val="center"/>
          </w:tcPr>
          <w:p w14:paraId="5922C18F" w14:textId="4EF3AB3E" w:rsidR="00FA477B" w:rsidRPr="00A71BDC" w:rsidRDefault="00FA477B" w:rsidP="00264A14">
            <w:pPr>
              <w:rPr>
                <w:sz w:val="20"/>
                <w:szCs w:val="20"/>
                <w:lang w:val="de-AT" w:eastAsia="de-AT"/>
              </w:rPr>
            </w:pPr>
            <w:r>
              <w:rPr>
                <w:lang w:val="de-AT" w:eastAsia="de-AT"/>
              </w:rPr>
              <w:t>Fahrzeug Marke/Typenbezeichnung</w:t>
            </w:r>
          </w:p>
        </w:tc>
        <w:tc>
          <w:tcPr>
            <w:tcW w:w="910" w:type="dxa"/>
            <w:tcBorders>
              <w:top w:val="single" w:sz="12" w:space="0" w:color="auto"/>
              <w:left w:val="single" w:sz="4" w:space="0" w:color="auto"/>
              <w:bottom w:val="single" w:sz="4" w:space="0" w:color="auto"/>
              <w:right w:val="single" w:sz="4" w:space="0" w:color="auto"/>
            </w:tcBorders>
            <w:textDirection w:val="btLr"/>
            <w:vAlign w:val="center"/>
            <w:hideMark/>
          </w:tcPr>
          <w:p w14:paraId="256869F6" w14:textId="77777777" w:rsidR="00FA477B" w:rsidRDefault="00FA477B" w:rsidP="00264A14">
            <w:pPr>
              <w:rPr>
                <w:lang w:val="de-AT" w:eastAsia="de-AT"/>
              </w:rPr>
            </w:pPr>
            <w:r>
              <w:rPr>
                <w:lang w:val="de-AT" w:eastAsia="de-AT"/>
              </w:rPr>
              <w:t>Akku Typ</w:t>
            </w:r>
          </w:p>
        </w:tc>
        <w:tc>
          <w:tcPr>
            <w:tcW w:w="1040" w:type="dxa"/>
            <w:tcBorders>
              <w:top w:val="single" w:sz="12" w:space="0" w:color="auto"/>
              <w:left w:val="single" w:sz="4" w:space="0" w:color="auto"/>
              <w:bottom w:val="single" w:sz="4" w:space="0" w:color="auto"/>
              <w:right w:val="single" w:sz="4" w:space="0" w:color="auto"/>
            </w:tcBorders>
            <w:textDirection w:val="btLr"/>
            <w:vAlign w:val="center"/>
            <w:hideMark/>
          </w:tcPr>
          <w:p w14:paraId="31B5C222" w14:textId="77777777" w:rsidR="00FA477B" w:rsidRDefault="00FA477B" w:rsidP="00264A14">
            <w:pPr>
              <w:rPr>
                <w:lang w:val="de-AT" w:eastAsia="de-AT"/>
              </w:rPr>
            </w:pPr>
            <w:r>
              <w:rPr>
                <w:lang w:val="de-AT" w:eastAsia="de-AT"/>
              </w:rPr>
              <w:t>Anzahl der Zellen</w:t>
            </w:r>
          </w:p>
          <w:p w14:paraId="24E55BEF" w14:textId="77777777" w:rsidR="00FA477B" w:rsidRDefault="00FA477B" w:rsidP="00264A14">
            <w:pPr>
              <w:rPr>
                <w:lang w:val="de-AT" w:eastAsia="de-AT"/>
              </w:rPr>
            </w:pPr>
            <w:r>
              <w:rPr>
                <w:lang w:val="de-AT" w:eastAsia="de-AT"/>
              </w:rPr>
              <w:t>[n]</w:t>
            </w:r>
          </w:p>
        </w:tc>
        <w:tc>
          <w:tcPr>
            <w:tcW w:w="1859" w:type="dxa"/>
            <w:tcBorders>
              <w:top w:val="single" w:sz="12" w:space="0" w:color="auto"/>
              <w:left w:val="single" w:sz="4" w:space="0" w:color="auto"/>
              <w:bottom w:val="single" w:sz="4" w:space="0" w:color="auto"/>
              <w:right w:val="single" w:sz="4" w:space="0" w:color="auto"/>
            </w:tcBorders>
            <w:textDirection w:val="btLr"/>
            <w:vAlign w:val="center"/>
            <w:hideMark/>
          </w:tcPr>
          <w:p w14:paraId="0E04A18A" w14:textId="77777777" w:rsidR="00FA477B" w:rsidRDefault="00FA477B" w:rsidP="00264A14">
            <w:pPr>
              <w:rPr>
                <w:lang w:val="de-AT" w:eastAsia="de-AT"/>
              </w:rPr>
            </w:pPr>
            <w:r>
              <w:rPr>
                <w:lang w:val="de-AT" w:eastAsia="de-AT"/>
              </w:rPr>
              <w:t>Gesamtkapazität C</w:t>
            </w:r>
            <w:r>
              <w:rPr>
                <w:vertAlign w:val="subscript"/>
                <w:lang w:val="de-AT" w:eastAsia="de-AT"/>
              </w:rPr>
              <w:t>5</w:t>
            </w:r>
          </w:p>
          <w:p w14:paraId="62B5EA12" w14:textId="77777777" w:rsidR="00FA477B" w:rsidRDefault="00FA477B" w:rsidP="00264A14">
            <w:pPr>
              <w:rPr>
                <w:lang w:val="de-AT" w:eastAsia="de-AT"/>
              </w:rPr>
            </w:pPr>
            <w:r>
              <w:rPr>
                <w:lang w:val="de-AT" w:eastAsia="de-AT"/>
              </w:rPr>
              <w:t>[Ah]</w:t>
            </w:r>
          </w:p>
        </w:tc>
        <w:tc>
          <w:tcPr>
            <w:tcW w:w="1630" w:type="dxa"/>
            <w:tcBorders>
              <w:top w:val="single" w:sz="12" w:space="0" w:color="auto"/>
              <w:left w:val="single" w:sz="4" w:space="0" w:color="auto"/>
              <w:bottom w:val="single" w:sz="4" w:space="0" w:color="auto"/>
              <w:right w:val="single" w:sz="4" w:space="0" w:color="auto"/>
            </w:tcBorders>
            <w:textDirection w:val="btLr"/>
            <w:vAlign w:val="center"/>
            <w:hideMark/>
          </w:tcPr>
          <w:p w14:paraId="77E1A48E" w14:textId="77777777" w:rsidR="00FA477B" w:rsidRDefault="00FA477B" w:rsidP="00264A14">
            <w:pPr>
              <w:rPr>
                <w:lang w:val="de-AT" w:eastAsia="de-AT"/>
              </w:rPr>
            </w:pPr>
            <w:r>
              <w:rPr>
                <w:lang w:val="de-AT" w:eastAsia="de-AT"/>
              </w:rPr>
              <w:t>Ladespannung</w:t>
            </w:r>
          </w:p>
          <w:p w14:paraId="2672CAA2" w14:textId="77777777" w:rsidR="00FA477B" w:rsidRDefault="00FA477B" w:rsidP="00264A14">
            <w:pPr>
              <w:rPr>
                <w:lang w:val="de-AT" w:eastAsia="de-AT"/>
              </w:rPr>
            </w:pPr>
            <w:r>
              <w:rPr>
                <w:lang w:val="de-AT" w:eastAsia="de-AT"/>
              </w:rPr>
              <w:t>[V]</w:t>
            </w:r>
          </w:p>
        </w:tc>
        <w:tc>
          <w:tcPr>
            <w:tcW w:w="1256" w:type="dxa"/>
            <w:tcBorders>
              <w:top w:val="single" w:sz="12" w:space="0" w:color="auto"/>
              <w:left w:val="single" w:sz="4" w:space="0" w:color="auto"/>
              <w:bottom w:val="single" w:sz="4" w:space="0" w:color="auto"/>
              <w:right w:val="single" w:sz="12" w:space="0" w:color="auto"/>
            </w:tcBorders>
            <w:textDirection w:val="btLr"/>
            <w:vAlign w:val="center"/>
            <w:hideMark/>
          </w:tcPr>
          <w:p w14:paraId="1CD463D3" w14:textId="6C942B04" w:rsidR="00FA477B" w:rsidRDefault="00FA477B" w:rsidP="00264A14">
            <w:pPr>
              <w:rPr>
                <w:lang w:val="de-AT" w:eastAsia="de-AT"/>
              </w:rPr>
            </w:pPr>
            <w:r>
              <w:rPr>
                <w:lang w:val="de-AT" w:eastAsia="de-AT"/>
              </w:rPr>
              <w:t>Ladestrom (</w:t>
            </w:r>
            <w:r w:rsidR="008473A0">
              <w:rPr>
                <w:lang w:val="de-AT" w:eastAsia="de-AT"/>
              </w:rPr>
              <w:t>max.</w:t>
            </w:r>
            <w:r>
              <w:rPr>
                <w:lang w:val="de-AT" w:eastAsia="de-AT"/>
              </w:rPr>
              <w:t>)</w:t>
            </w:r>
          </w:p>
          <w:p w14:paraId="1B064742" w14:textId="77777777" w:rsidR="00FA477B" w:rsidRDefault="00FA477B" w:rsidP="00264A14">
            <w:pPr>
              <w:rPr>
                <w:lang w:val="de-AT" w:eastAsia="de-AT"/>
              </w:rPr>
            </w:pPr>
            <w:r>
              <w:rPr>
                <w:lang w:val="de-AT" w:eastAsia="de-AT"/>
              </w:rPr>
              <w:t>[A]</w:t>
            </w:r>
          </w:p>
        </w:tc>
      </w:tr>
      <w:tr w:rsidR="00FA477B" w14:paraId="4519403C" w14:textId="77777777" w:rsidTr="00242C69">
        <w:trPr>
          <w:trHeight w:val="397"/>
        </w:trPr>
        <w:tc>
          <w:tcPr>
            <w:tcW w:w="2772" w:type="dxa"/>
            <w:tcBorders>
              <w:top w:val="single" w:sz="4" w:space="0" w:color="auto"/>
              <w:left w:val="single" w:sz="12" w:space="0" w:color="auto"/>
              <w:bottom w:val="single" w:sz="4" w:space="0" w:color="auto"/>
              <w:right w:val="single" w:sz="4" w:space="0" w:color="auto"/>
            </w:tcBorders>
            <w:vAlign w:val="center"/>
            <w:hideMark/>
          </w:tcPr>
          <w:p w14:paraId="217FFD85" w14:textId="77777777" w:rsidR="00FA477B" w:rsidRDefault="00FA477B" w:rsidP="00264A14">
            <w:pPr>
              <w:rPr>
                <w:lang w:val="de-AT" w:eastAsia="de-AT"/>
              </w:rPr>
            </w:pPr>
            <w:r>
              <w:rPr>
                <w:lang w:val="de-AT" w:eastAsia="de-AT"/>
              </w:rPr>
              <w:t>Fahrzeug 1</w:t>
            </w:r>
          </w:p>
        </w:tc>
        <w:tc>
          <w:tcPr>
            <w:tcW w:w="910" w:type="dxa"/>
            <w:tcBorders>
              <w:top w:val="single" w:sz="4" w:space="0" w:color="auto"/>
              <w:left w:val="single" w:sz="4" w:space="0" w:color="auto"/>
              <w:bottom w:val="single" w:sz="4" w:space="0" w:color="auto"/>
              <w:right w:val="single" w:sz="4" w:space="0" w:color="auto"/>
            </w:tcBorders>
            <w:vAlign w:val="center"/>
          </w:tcPr>
          <w:p w14:paraId="462D9C2D" w14:textId="77777777" w:rsidR="00FA477B" w:rsidRDefault="00FA477B" w:rsidP="00264A14">
            <w:pPr>
              <w:rPr>
                <w:lang w:val="de-AT" w:eastAsia="de-AT"/>
              </w:rPr>
            </w:pPr>
          </w:p>
        </w:tc>
        <w:tc>
          <w:tcPr>
            <w:tcW w:w="1040" w:type="dxa"/>
            <w:tcBorders>
              <w:top w:val="single" w:sz="4" w:space="0" w:color="auto"/>
              <w:left w:val="single" w:sz="4" w:space="0" w:color="auto"/>
              <w:bottom w:val="single" w:sz="4" w:space="0" w:color="auto"/>
              <w:right w:val="single" w:sz="4" w:space="0" w:color="auto"/>
            </w:tcBorders>
            <w:vAlign w:val="center"/>
          </w:tcPr>
          <w:p w14:paraId="5ECD416A" w14:textId="77777777" w:rsidR="00FA477B" w:rsidRDefault="00FA477B" w:rsidP="00264A14">
            <w:pPr>
              <w:rPr>
                <w:lang w:val="de-AT" w:eastAsia="de-AT"/>
              </w:rPr>
            </w:pPr>
          </w:p>
        </w:tc>
        <w:tc>
          <w:tcPr>
            <w:tcW w:w="1859" w:type="dxa"/>
            <w:tcBorders>
              <w:top w:val="single" w:sz="4" w:space="0" w:color="auto"/>
              <w:left w:val="single" w:sz="4" w:space="0" w:color="auto"/>
              <w:bottom w:val="single" w:sz="4" w:space="0" w:color="auto"/>
              <w:right w:val="single" w:sz="4" w:space="0" w:color="auto"/>
            </w:tcBorders>
            <w:vAlign w:val="center"/>
          </w:tcPr>
          <w:p w14:paraId="03535BE6" w14:textId="77777777" w:rsidR="00FA477B" w:rsidRDefault="00FA477B" w:rsidP="00264A14">
            <w:pPr>
              <w:rPr>
                <w:lang w:val="de-AT" w:eastAsia="de-AT"/>
              </w:rPr>
            </w:pPr>
          </w:p>
        </w:tc>
        <w:tc>
          <w:tcPr>
            <w:tcW w:w="1630" w:type="dxa"/>
            <w:tcBorders>
              <w:top w:val="single" w:sz="4" w:space="0" w:color="auto"/>
              <w:left w:val="single" w:sz="4" w:space="0" w:color="auto"/>
              <w:bottom w:val="single" w:sz="4" w:space="0" w:color="auto"/>
              <w:right w:val="single" w:sz="4" w:space="0" w:color="auto"/>
            </w:tcBorders>
            <w:vAlign w:val="center"/>
          </w:tcPr>
          <w:p w14:paraId="2FF9389C" w14:textId="77777777" w:rsidR="00FA477B" w:rsidRDefault="00FA477B" w:rsidP="00264A14">
            <w:pPr>
              <w:rPr>
                <w:lang w:val="de-AT" w:eastAsia="de-AT"/>
              </w:rPr>
            </w:pPr>
          </w:p>
        </w:tc>
        <w:tc>
          <w:tcPr>
            <w:tcW w:w="1256" w:type="dxa"/>
            <w:tcBorders>
              <w:top w:val="single" w:sz="4" w:space="0" w:color="auto"/>
              <w:left w:val="single" w:sz="4" w:space="0" w:color="auto"/>
              <w:bottom w:val="single" w:sz="4" w:space="0" w:color="auto"/>
              <w:right w:val="single" w:sz="12" w:space="0" w:color="auto"/>
            </w:tcBorders>
            <w:vAlign w:val="center"/>
          </w:tcPr>
          <w:p w14:paraId="06FD790B" w14:textId="77777777" w:rsidR="00FA477B" w:rsidRDefault="00FA477B" w:rsidP="00264A14">
            <w:pPr>
              <w:rPr>
                <w:lang w:val="de-AT" w:eastAsia="de-AT"/>
              </w:rPr>
            </w:pPr>
          </w:p>
        </w:tc>
      </w:tr>
      <w:tr w:rsidR="00FA477B" w14:paraId="42B97450" w14:textId="77777777" w:rsidTr="00242C69">
        <w:trPr>
          <w:trHeight w:val="397"/>
        </w:trPr>
        <w:tc>
          <w:tcPr>
            <w:tcW w:w="2772" w:type="dxa"/>
            <w:tcBorders>
              <w:top w:val="single" w:sz="4" w:space="0" w:color="auto"/>
              <w:left w:val="single" w:sz="12" w:space="0" w:color="auto"/>
              <w:bottom w:val="single" w:sz="4" w:space="0" w:color="auto"/>
              <w:right w:val="single" w:sz="4" w:space="0" w:color="auto"/>
            </w:tcBorders>
            <w:vAlign w:val="center"/>
            <w:hideMark/>
          </w:tcPr>
          <w:p w14:paraId="74C22233" w14:textId="77777777" w:rsidR="00FA477B" w:rsidRDefault="00FA477B" w:rsidP="00264A14">
            <w:pPr>
              <w:rPr>
                <w:lang w:val="de-AT" w:eastAsia="de-AT"/>
              </w:rPr>
            </w:pPr>
            <w:r>
              <w:rPr>
                <w:lang w:val="de-AT" w:eastAsia="de-AT"/>
              </w:rPr>
              <w:t>Fahrzeug 2</w:t>
            </w:r>
          </w:p>
        </w:tc>
        <w:tc>
          <w:tcPr>
            <w:tcW w:w="910" w:type="dxa"/>
            <w:tcBorders>
              <w:top w:val="single" w:sz="4" w:space="0" w:color="auto"/>
              <w:left w:val="single" w:sz="4" w:space="0" w:color="auto"/>
              <w:bottom w:val="single" w:sz="4" w:space="0" w:color="auto"/>
              <w:right w:val="single" w:sz="4" w:space="0" w:color="auto"/>
            </w:tcBorders>
            <w:vAlign w:val="center"/>
          </w:tcPr>
          <w:p w14:paraId="56A6E7A7" w14:textId="77777777" w:rsidR="00FA477B" w:rsidRDefault="00FA477B" w:rsidP="00264A14">
            <w:pPr>
              <w:rPr>
                <w:lang w:val="de-AT" w:eastAsia="de-AT"/>
              </w:rPr>
            </w:pPr>
          </w:p>
        </w:tc>
        <w:tc>
          <w:tcPr>
            <w:tcW w:w="1040" w:type="dxa"/>
            <w:tcBorders>
              <w:top w:val="single" w:sz="4" w:space="0" w:color="auto"/>
              <w:left w:val="single" w:sz="4" w:space="0" w:color="auto"/>
              <w:bottom w:val="single" w:sz="4" w:space="0" w:color="auto"/>
              <w:right w:val="single" w:sz="4" w:space="0" w:color="auto"/>
            </w:tcBorders>
            <w:vAlign w:val="center"/>
          </w:tcPr>
          <w:p w14:paraId="5C11C583" w14:textId="77777777" w:rsidR="00FA477B" w:rsidRDefault="00FA477B" w:rsidP="00264A14">
            <w:pPr>
              <w:rPr>
                <w:lang w:val="de-AT" w:eastAsia="de-AT"/>
              </w:rPr>
            </w:pPr>
          </w:p>
        </w:tc>
        <w:tc>
          <w:tcPr>
            <w:tcW w:w="1859" w:type="dxa"/>
            <w:tcBorders>
              <w:top w:val="single" w:sz="4" w:space="0" w:color="auto"/>
              <w:left w:val="single" w:sz="4" w:space="0" w:color="auto"/>
              <w:bottom w:val="single" w:sz="4" w:space="0" w:color="auto"/>
              <w:right w:val="single" w:sz="4" w:space="0" w:color="auto"/>
            </w:tcBorders>
            <w:vAlign w:val="center"/>
          </w:tcPr>
          <w:p w14:paraId="30D3163F" w14:textId="77777777" w:rsidR="00FA477B" w:rsidRDefault="00FA477B" w:rsidP="00264A14">
            <w:pPr>
              <w:rPr>
                <w:lang w:val="de-AT" w:eastAsia="de-AT"/>
              </w:rPr>
            </w:pPr>
          </w:p>
        </w:tc>
        <w:tc>
          <w:tcPr>
            <w:tcW w:w="1630" w:type="dxa"/>
            <w:tcBorders>
              <w:top w:val="single" w:sz="4" w:space="0" w:color="auto"/>
              <w:left w:val="single" w:sz="4" w:space="0" w:color="auto"/>
              <w:bottom w:val="single" w:sz="4" w:space="0" w:color="auto"/>
              <w:right w:val="single" w:sz="4" w:space="0" w:color="auto"/>
            </w:tcBorders>
            <w:vAlign w:val="center"/>
          </w:tcPr>
          <w:p w14:paraId="2D0938B1" w14:textId="77777777" w:rsidR="00FA477B" w:rsidRDefault="00FA477B" w:rsidP="00264A14">
            <w:pPr>
              <w:rPr>
                <w:lang w:val="de-AT" w:eastAsia="de-AT"/>
              </w:rPr>
            </w:pPr>
          </w:p>
        </w:tc>
        <w:tc>
          <w:tcPr>
            <w:tcW w:w="1256" w:type="dxa"/>
            <w:tcBorders>
              <w:top w:val="single" w:sz="4" w:space="0" w:color="auto"/>
              <w:left w:val="single" w:sz="4" w:space="0" w:color="auto"/>
              <w:bottom w:val="single" w:sz="4" w:space="0" w:color="auto"/>
              <w:right w:val="single" w:sz="12" w:space="0" w:color="auto"/>
            </w:tcBorders>
            <w:vAlign w:val="center"/>
          </w:tcPr>
          <w:p w14:paraId="55D0B4EB" w14:textId="77777777" w:rsidR="00FA477B" w:rsidRDefault="00FA477B" w:rsidP="00264A14">
            <w:pPr>
              <w:rPr>
                <w:lang w:val="de-AT" w:eastAsia="de-AT"/>
              </w:rPr>
            </w:pPr>
          </w:p>
        </w:tc>
      </w:tr>
      <w:tr w:rsidR="00FA477B" w14:paraId="4E08D20E" w14:textId="77777777" w:rsidTr="00242C69">
        <w:trPr>
          <w:trHeight w:val="397"/>
        </w:trPr>
        <w:tc>
          <w:tcPr>
            <w:tcW w:w="2772" w:type="dxa"/>
            <w:tcBorders>
              <w:top w:val="single" w:sz="4" w:space="0" w:color="auto"/>
              <w:left w:val="single" w:sz="12" w:space="0" w:color="auto"/>
              <w:bottom w:val="single" w:sz="4" w:space="0" w:color="auto"/>
              <w:right w:val="single" w:sz="4" w:space="0" w:color="auto"/>
            </w:tcBorders>
            <w:vAlign w:val="center"/>
            <w:hideMark/>
          </w:tcPr>
          <w:p w14:paraId="5FAFEBD7" w14:textId="77777777" w:rsidR="00FA477B" w:rsidRDefault="00FA477B" w:rsidP="00264A14">
            <w:pPr>
              <w:rPr>
                <w:lang w:val="de-AT" w:eastAsia="de-AT"/>
              </w:rPr>
            </w:pPr>
            <w:r>
              <w:rPr>
                <w:lang w:val="de-AT" w:eastAsia="de-AT"/>
              </w:rPr>
              <w:t>Fahrzeug 3</w:t>
            </w:r>
          </w:p>
        </w:tc>
        <w:tc>
          <w:tcPr>
            <w:tcW w:w="910" w:type="dxa"/>
            <w:tcBorders>
              <w:top w:val="single" w:sz="4" w:space="0" w:color="auto"/>
              <w:left w:val="single" w:sz="4" w:space="0" w:color="auto"/>
              <w:bottom w:val="single" w:sz="4" w:space="0" w:color="auto"/>
              <w:right w:val="single" w:sz="4" w:space="0" w:color="auto"/>
            </w:tcBorders>
            <w:vAlign w:val="center"/>
          </w:tcPr>
          <w:p w14:paraId="7AF77B95" w14:textId="77777777" w:rsidR="00FA477B" w:rsidRDefault="00FA477B" w:rsidP="00264A14">
            <w:pPr>
              <w:rPr>
                <w:lang w:val="de-AT" w:eastAsia="de-AT"/>
              </w:rPr>
            </w:pPr>
          </w:p>
        </w:tc>
        <w:tc>
          <w:tcPr>
            <w:tcW w:w="1040" w:type="dxa"/>
            <w:tcBorders>
              <w:top w:val="single" w:sz="4" w:space="0" w:color="auto"/>
              <w:left w:val="single" w:sz="4" w:space="0" w:color="auto"/>
              <w:bottom w:val="single" w:sz="4" w:space="0" w:color="auto"/>
              <w:right w:val="single" w:sz="4" w:space="0" w:color="auto"/>
            </w:tcBorders>
            <w:vAlign w:val="center"/>
          </w:tcPr>
          <w:p w14:paraId="034CF33A" w14:textId="77777777" w:rsidR="00FA477B" w:rsidRDefault="00FA477B" w:rsidP="00264A14">
            <w:pPr>
              <w:rPr>
                <w:lang w:val="de-AT" w:eastAsia="de-AT"/>
              </w:rPr>
            </w:pPr>
          </w:p>
        </w:tc>
        <w:tc>
          <w:tcPr>
            <w:tcW w:w="1859" w:type="dxa"/>
            <w:tcBorders>
              <w:top w:val="single" w:sz="4" w:space="0" w:color="auto"/>
              <w:left w:val="single" w:sz="4" w:space="0" w:color="auto"/>
              <w:bottom w:val="single" w:sz="4" w:space="0" w:color="auto"/>
              <w:right w:val="single" w:sz="4" w:space="0" w:color="auto"/>
            </w:tcBorders>
            <w:vAlign w:val="center"/>
          </w:tcPr>
          <w:p w14:paraId="3A1BA15B" w14:textId="77777777" w:rsidR="00FA477B" w:rsidRDefault="00FA477B" w:rsidP="00264A14">
            <w:pPr>
              <w:rPr>
                <w:lang w:val="de-AT" w:eastAsia="de-AT"/>
              </w:rPr>
            </w:pPr>
          </w:p>
        </w:tc>
        <w:tc>
          <w:tcPr>
            <w:tcW w:w="1630" w:type="dxa"/>
            <w:tcBorders>
              <w:top w:val="single" w:sz="4" w:space="0" w:color="auto"/>
              <w:left w:val="single" w:sz="4" w:space="0" w:color="auto"/>
              <w:bottom w:val="single" w:sz="4" w:space="0" w:color="auto"/>
              <w:right w:val="single" w:sz="4" w:space="0" w:color="auto"/>
            </w:tcBorders>
            <w:vAlign w:val="center"/>
          </w:tcPr>
          <w:p w14:paraId="5109FD1F" w14:textId="77777777" w:rsidR="00FA477B" w:rsidRDefault="00FA477B" w:rsidP="00264A14">
            <w:pPr>
              <w:rPr>
                <w:lang w:val="de-AT" w:eastAsia="de-AT"/>
              </w:rPr>
            </w:pPr>
          </w:p>
        </w:tc>
        <w:tc>
          <w:tcPr>
            <w:tcW w:w="1256" w:type="dxa"/>
            <w:tcBorders>
              <w:top w:val="single" w:sz="4" w:space="0" w:color="auto"/>
              <w:left w:val="single" w:sz="4" w:space="0" w:color="auto"/>
              <w:bottom w:val="single" w:sz="4" w:space="0" w:color="auto"/>
              <w:right w:val="single" w:sz="12" w:space="0" w:color="auto"/>
            </w:tcBorders>
            <w:vAlign w:val="center"/>
          </w:tcPr>
          <w:p w14:paraId="07406FAC" w14:textId="77777777" w:rsidR="00FA477B" w:rsidRDefault="00FA477B" w:rsidP="00264A14">
            <w:pPr>
              <w:rPr>
                <w:lang w:val="de-AT" w:eastAsia="de-AT"/>
              </w:rPr>
            </w:pPr>
          </w:p>
        </w:tc>
      </w:tr>
      <w:tr w:rsidR="00FA477B" w14:paraId="4912D65B" w14:textId="77777777" w:rsidTr="00242C69">
        <w:trPr>
          <w:trHeight w:val="397"/>
        </w:trPr>
        <w:tc>
          <w:tcPr>
            <w:tcW w:w="2772" w:type="dxa"/>
            <w:tcBorders>
              <w:top w:val="single" w:sz="4" w:space="0" w:color="auto"/>
              <w:left w:val="single" w:sz="12" w:space="0" w:color="auto"/>
              <w:bottom w:val="single" w:sz="4" w:space="0" w:color="auto"/>
              <w:right w:val="single" w:sz="4" w:space="0" w:color="auto"/>
            </w:tcBorders>
            <w:vAlign w:val="center"/>
            <w:hideMark/>
          </w:tcPr>
          <w:p w14:paraId="436F423F" w14:textId="77777777" w:rsidR="00FA477B" w:rsidRDefault="00FA477B" w:rsidP="00264A14">
            <w:pPr>
              <w:rPr>
                <w:lang w:val="de-AT" w:eastAsia="de-AT"/>
              </w:rPr>
            </w:pPr>
            <w:r>
              <w:rPr>
                <w:lang w:val="de-AT" w:eastAsia="de-AT"/>
              </w:rPr>
              <w:t>Fahrzeug 4</w:t>
            </w:r>
          </w:p>
        </w:tc>
        <w:tc>
          <w:tcPr>
            <w:tcW w:w="910" w:type="dxa"/>
            <w:tcBorders>
              <w:top w:val="single" w:sz="4" w:space="0" w:color="auto"/>
              <w:left w:val="single" w:sz="4" w:space="0" w:color="auto"/>
              <w:bottom w:val="single" w:sz="4" w:space="0" w:color="auto"/>
              <w:right w:val="single" w:sz="4" w:space="0" w:color="auto"/>
            </w:tcBorders>
            <w:vAlign w:val="center"/>
          </w:tcPr>
          <w:p w14:paraId="1E4D3897" w14:textId="77777777" w:rsidR="00FA477B" w:rsidRDefault="00FA477B" w:rsidP="00264A14">
            <w:pPr>
              <w:rPr>
                <w:lang w:val="de-AT" w:eastAsia="de-AT"/>
              </w:rPr>
            </w:pPr>
          </w:p>
        </w:tc>
        <w:tc>
          <w:tcPr>
            <w:tcW w:w="1040" w:type="dxa"/>
            <w:tcBorders>
              <w:top w:val="single" w:sz="4" w:space="0" w:color="auto"/>
              <w:left w:val="single" w:sz="4" w:space="0" w:color="auto"/>
              <w:bottom w:val="single" w:sz="4" w:space="0" w:color="auto"/>
              <w:right w:val="single" w:sz="4" w:space="0" w:color="auto"/>
            </w:tcBorders>
            <w:vAlign w:val="center"/>
          </w:tcPr>
          <w:p w14:paraId="1380BA32" w14:textId="77777777" w:rsidR="00FA477B" w:rsidRDefault="00FA477B" w:rsidP="00264A14">
            <w:pPr>
              <w:rPr>
                <w:lang w:val="de-AT" w:eastAsia="de-AT"/>
              </w:rPr>
            </w:pPr>
          </w:p>
        </w:tc>
        <w:tc>
          <w:tcPr>
            <w:tcW w:w="1859" w:type="dxa"/>
            <w:tcBorders>
              <w:top w:val="single" w:sz="4" w:space="0" w:color="auto"/>
              <w:left w:val="single" w:sz="4" w:space="0" w:color="auto"/>
              <w:bottom w:val="single" w:sz="4" w:space="0" w:color="auto"/>
              <w:right w:val="single" w:sz="4" w:space="0" w:color="auto"/>
            </w:tcBorders>
            <w:vAlign w:val="center"/>
          </w:tcPr>
          <w:p w14:paraId="4C73D2A0" w14:textId="77777777" w:rsidR="00FA477B" w:rsidRDefault="00FA477B" w:rsidP="00264A14">
            <w:pPr>
              <w:rPr>
                <w:lang w:val="de-AT" w:eastAsia="de-AT"/>
              </w:rPr>
            </w:pPr>
          </w:p>
        </w:tc>
        <w:tc>
          <w:tcPr>
            <w:tcW w:w="1630" w:type="dxa"/>
            <w:tcBorders>
              <w:top w:val="single" w:sz="4" w:space="0" w:color="auto"/>
              <w:left w:val="single" w:sz="4" w:space="0" w:color="auto"/>
              <w:bottom w:val="single" w:sz="4" w:space="0" w:color="auto"/>
              <w:right w:val="single" w:sz="4" w:space="0" w:color="auto"/>
            </w:tcBorders>
            <w:vAlign w:val="center"/>
          </w:tcPr>
          <w:p w14:paraId="12642263" w14:textId="77777777" w:rsidR="00FA477B" w:rsidRDefault="00FA477B" w:rsidP="00264A14">
            <w:pPr>
              <w:rPr>
                <w:lang w:val="de-AT" w:eastAsia="de-AT"/>
              </w:rPr>
            </w:pPr>
          </w:p>
        </w:tc>
        <w:tc>
          <w:tcPr>
            <w:tcW w:w="1256" w:type="dxa"/>
            <w:tcBorders>
              <w:top w:val="single" w:sz="4" w:space="0" w:color="auto"/>
              <w:left w:val="single" w:sz="4" w:space="0" w:color="auto"/>
              <w:bottom w:val="single" w:sz="4" w:space="0" w:color="auto"/>
              <w:right w:val="single" w:sz="12" w:space="0" w:color="auto"/>
            </w:tcBorders>
            <w:vAlign w:val="center"/>
          </w:tcPr>
          <w:p w14:paraId="2687F6C6" w14:textId="77777777" w:rsidR="00FA477B" w:rsidRDefault="00FA477B" w:rsidP="00264A14">
            <w:pPr>
              <w:rPr>
                <w:lang w:val="de-AT" w:eastAsia="de-AT"/>
              </w:rPr>
            </w:pPr>
          </w:p>
        </w:tc>
      </w:tr>
      <w:tr w:rsidR="00FA477B" w14:paraId="2D926D12" w14:textId="77777777" w:rsidTr="00242C69">
        <w:trPr>
          <w:trHeight w:val="397"/>
        </w:trPr>
        <w:tc>
          <w:tcPr>
            <w:tcW w:w="2772" w:type="dxa"/>
            <w:tcBorders>
              <w:top w:val="single" w:sz="4" w:space="0" w:color="auto"/>
              <w:left w:val="single" w:sz="12" w:space="0" w:color="auto"/>
              <w:bottom w:val="single" w:sz="4" w:space="0" w:color="auto"/>
              <w:right w:val="single" w:sz="4" w:space="0" w:color="auto"/>
            </w:tcBorders>
            <w:vAlign w:val="center"/>
            <w:hideMark/>
          </w:tcPr>
          <w:p w14:paraId="72B64563" w14:textId="77777777" w:rsidR="00FA477B" w:rsidRDefault="00FA477B" w:rsidP="00264A14">
            <w:pPr>
              <w:rPr>
                <w:lang w:val="de-AT" w:eastAsia="de-AT"/>
              </w:rPr>
            </w:pPr>
            <w:r>
              <w:rPr>
                <w:lang w:val="de-AT" w:eastAsia="de-AT"/>
              </w:rPr>
              <w:t>Fahrzeug 5</w:t>
            </w:r>
          </w:p>
        </w:tc>
        <w:tc>
          <w:tcPr>
            <w:tcW w:w="910" w:type="dxa"/>
            <w:tcBorders>
              <w:top w:val="single" w:sz="4" w:space="0" w:color="auto"/>
              <w:left w:val="single" w:sz="4" w:space="0" w:color="auto"/>
              <w:bottom w:val="single" w:sz="4" w:space="0" w:color="auto"/>
              <w:right w:val="single" w:sz="4" w:space="0" w:color="auto"/>
            </w:tcBorders>
            <w:vAlign w:val="center"/>
          </w:tcPr>
          <w:p w14:paraId="5590C91F" w14:textId="77777777" w:rsidR="00FA477B" w:rsidRDefault="00FA477B" w:rsidP="00264A14">
            <w:pPr>
              <w:rPr>
                <w:lang w:val="de-AT" w:eastAsia="de-AT"/>
              </w:rPr>
            </w:pPr>
          </w:p>
        </w:tc>
        <w:tc>
          <w:tcPr>
            <w:tcW w:w="1040" w:type="dxa"/>
            <w:tcBorders>
              <w:top w:val="single" w:sz="4" w:space="0" w:color="auto"/>
              <w:left w:val="single" w:sz="4" w:space="0" w:color="auto"/>
              <w:bottom w:val="single" w:sz="4" w:space="0" w:color="auto"/>
              <w:right w:val="single" w:sz="4" w:space="0" w:color="auto"/>
            </w:tcBorders>
            <w:vAlign w:val="center"/>
          </w:tcPr>
          <w:p w14:paraId="2E80824E" w14:textId="77777777" w:rsidR="00FA477B" w:rsidRDefault="00FA477B" w:rsidP="00264A14">
            <w:pPr>
              <w:rPr>
                <w:lang w:val="de-AT" w:eastAsia="de-AT"/>
              </w:rPr>
            </w:pPr>
          </w:p>
        </w:tc>
        <w:tc>
          <w:tcPr>
            <w:tcW w:w="1859" w:type="dxa"/>
            <w:tcBorders>
              <w:top w:val="single" w:sz="4" w:space="0" w:color="auto"/>
              <w:left w:val="single" w:sz="4" w:space="0" w:color="auto"/>
              <w:bottom w:val="single" w:sz="4" w:space="0" w:color="auto"/>
              <w:right w:val="single" w:sz="4" w:space="0" w:color="auto"/>
            </w:tcBorders>
            <w:vAlign w:val="center"/>
          </w:tcPr>
          <w:p w14:paraId="1313AE39" w14:textId="77777777" w:rsidR="00FA477B" w:rsidRDefault="00FA477B" w:rsidP="00264A14">
            <w:pPr>
              <w:rPr>
                <w:lang w:val="de-AT" w:eastAsia="de-AT"/>
              </w:rPr>
            </w:pPr>
          </w:p>
        </w:tc>
        <w:tc>
          <w:tcPr>
            <w:tcW w:w="1630" w:type="dxa"/>
            <w:tcBorders>
              <w:top w:val="single" w:sz="4" w:space="0" w:color="auto"/>
              <w:left w:val="single" w:sz="4" w:space="0" w:color="auto"/>
              <w:bottom w:val="single" w:sz="4" w:space="0" w:color="auto"/>
              <w:right w:val="single" w:sz="4" w:space="0" w:color="auto"/>
            </w:tcBorders>
            <w:vAlign w:val="center"/>
          </w:tcPr>
          <w:p w14:paraId="750F89E9" w14:textId="77777777" w:rsidR="00FA477B" w:rsidRDefault="00FA477B" w:rsidP="00264A14">
            <w:pPr>
              <w:rPr>
                <w:lang w:val="de-AT" w:eastAsia="de-AT"/>
              </w:rPr>
            </w:pPr>
          </w:p>
        </w:tc>
        <w:tc>
          <w:tcPr>
            <w:tcW w:w="1256" w:type="dxa"/>
            <w:tcBorders>
              <w:top w:val="single" w:sz="4" w:space="0" w:color="auto"/>
              <w:left w:val="single" w:sz="4" w:space="0" w:color="auto"/>
              <w:bottom w:val="single" w:sz="4" w:space="0" w:color="auto"/>
              <w:right w:val="single" w:sz="12" w:space="0" w:color="auto"/>
            </w:tcBorders>
            <w:vAlign w:val="center"/>
          </w:tcPr>
          <w:p w14:paraId="702A9B3D" w14:textId="77777777" w:rsidR="00FA477B" w:rsidRDefault="00FA477B" w:rsidP="00264A14">
            <w:pPr>
              <w:rPr>
                <w:lang w:val="de-AT" w:eastAsia="de-AT"/>
              </w:rPr>
            </w:pPr>
          </w:p>
        </w:tc>
      </w:tr>
      <w:tr w:rsidR="00FA477B" w14:paraId="279013BE" w14:textId="77777777" w:rsidTr="00242C69">
        <w:trPr>
          <w:trHeight w:val="397"/>
        </w:trPr>
        <w:tc>
          <w:tcPr>
            <w:tcW w:w="2772" w:type="dxa"/>
            <w:tcBorders>
              <w:top w:val="single" w:sz="4" w:space="0" w:color="auto"/>
              <w:left w:val="single" w:sz="12" w:space="0" w:color="auto"/>
              <w:bottom w:val="single" w:sz="4" w:space="0" w:color="auto"/>
              <w:right w:val="single" w:sz="4" w:space="0" w:color="auto"/>
            </w:tcBorders>
            <w:vAlign w:val="center"/>
            <w:hideMark/>
          </w:tcPr>
          <w:p w14:paraId="656F1365" w14:textId="77777777" w:rsidR="00FA477B" w:rsidRDefault="00FA477B" w:rsidP="00264A14">
            <w:pPr>
              <w:rPr>
                <w:lang w:val="de-AT" w:eastAsia="de-AT"/>
              </w:rPr>
            </w:pPr>
            <w:r>
              <w:rPr>
                <w:lang w:val="de-AT" w:eastAsia="de-AT"/>
              </w:rPr>
              <w:t>Fahrzeug 6</w:t>
            </w:r>
          </w:p>
        </w:tc>
        <w:tc>
          <w:tcPr>
            <w:tcW w:w="910" w:type="dxa"/>
            <w:tcBorders>
              <w:top w:val="single" w:sz="4" w:space="0" w:color="auto"/>
              <w:left w:val="single" w:sz="4" w:space="0" w:color="auto"/>
              <w:bottom w:val="single" w:sz="4" w:space="0" w:color="auto"/>
              <w:right w:val="single" w:sz="4" w:space="0" w:color="auto"/>
            </w:tcBorders>
            <w:vAlign w:val="center"/>
          </w:tcPr>
          <w:p w14:paraId="7147EAF2" w14:textId="77777777" w:rsidR="00FA477B" w:rsidRDefault="00FA477B" w:rsidP="00264A14">
            <w:pPr>
              <w:rPr>
                <w:lang w:val="de-AT" w:eastAsia="de-AT"/>
              </w:rPr>
            </w:pPr>
          </w:p>
        </w:tc>
        <w:tc>
          <w:tcPr>
            <w:tcW w:w="1040" w:type="dxa"/>
            <w:tcBorders>
              <w:top w:val="single" w:sz="4" w:space="0" w:color="auto"/>
              <w:left w:val="single" w:sz="4" w:space="0" w:color="auto"/>
              <w:bottom w:val="single" w:sz="4" w:space="0" w:color="auto"/>
              <w:right w:val="single" w:sz="4" w:space="0" w:color="auto"/>
            </w:tcBorders>
            <w:vAlign w:val="center"/>
          </w:tcPr>
          <w:p w14:paraId="6F0D3D46" w14:textId="77777777" w:rsidR="00FA477B" w:rsidRDefault="00FA477B" w:rsidP="00264A14">
            <w:pPr>
              <w:rPr>
                <w:lang w:val="de-AT" w:eastAsia="de-AT"/>
              </w:rPr>
            </w:pPr>
          </w:p>
        </w:tc>
        <w:tc>
          <w:tcPr>
            <w:tcW w:w="1859" w:type="dxa"/>
            <w:tcBorders>
              <w:top w:val="single" w:sz="4" w:space="0" w:color="auto"/>
              <w:left w:val="single" w:sz="4" w:space="0" w:color="auto"/>
              <w:bottom w:val="single" w:sz="4" w:space="0" w:color="auto"/>
              <w:right w:val="single" w:sz="4" w:space="0" w:color="auto"/>
            </w:tcBorders>
            <w:vAlign w:val="center"/>
          </w:tcPr>
          <w:p w14:paraId="69F48DE7" w14:textId="77777777" w:rsidR="00FA477B" w:rsidRDefault="00FA477B" w:rsidP="00264A14">
            <w:pPr>
              <w:rPr>
                <w:lang w:val="de-AT" w:eastAsia="de-AT"/>
              </w:rPr>
            </w:pPr>
          </w:p>
        </w:tc>
        <w:tc>
          <w:tcPr>
            <w:tcW w:w="1630" w:type="dxa"/>
            <w:tcBorders>
              <w:top w:val="single" w:sz="4" w:space="0" w:color="auto"/>
              <w:left w:val="single" w:sz="4" w:space="0" w:color="auto"/>
              <w:bottom w:val="single" w:sz="4" w:space="0" w:color="auto"/>
              <w:right w:val="single" w:sz="4" w:space="0" w:color="auto"/>
            </w:tcBorders>
            <w:vAlign w:val="center"/>
          </w:tcPr>
          <w:p w14:paraId="65F4D146" w14:textId="77777777" w:rsidR="00FA477B" w:rsidRDefault="00FA477B" w:rsidP="00264A14">
            <w:pPr>
              <w:rPr>
                <w:lang w:val="de-AT" w:eastAsia="de-AT"/>
              </w:rPr>
            </w:pPr>
          </w:p>
        </w:tc>
        <w:tc>
          <w:tcPr>
            <w:tcW w:w="1256" w:type="dxa"/>
            <w:tcBorders>
              <w:top w:val="single" w:sz="4" w:space="0" w:color="auto"/>
              <w:left w:val="single" w:sz="4" w:space="0" w:color="auto"/>
              <w:bottom w:val="single" w:sz="4" w:space="0" w:color="auto"/>
              <w:right w:val="single" w:sz="12" w:space="0" w:color="auto"/>
            </w:tcBorders>
            <w:vAlign w:val="center"/>
          </w:tcPr>
          <w:p w14:paraId="7C0D5C05" w14:textId="77777777" w:rsidR="00FA477B" w:rsidRDefault="00FA477B" w:rsidP="00264A14">
            <w:pPr>
              <w:rPr>
                <w:lang w:val="de-AT" w:eastAsia="de-AT"/>
              </w:rPr>
            </w:pPr>
          </w:p>
        </w:tc>
      </w:tr>
      <w:tr w:rsidR="00FA477B" w14:paraId="61173A08" w14:textId="77777777" w:rsidTr="00242C69">
        <w:trPr>
          <w:trHeight w:val="397"/>
        </w:trPr>
        <w:tc>
          <w:tcPr>
            <w:tcW w:w="2772" w:type="dxa"/>
            <w:tcBorders>
              <w:top w:val="single" w:sz="4" w:space="0" w:color="auto"/>
              <w:left w:val="single" w:sz="12" w:space="0" w:color="auto"/>
              <w:bottom w:val="single" w:sz="4" w:space="0" w:color="auto"/>
              <w:right w:val="single" w:sz="4" w:space="0" w:color="auto"/>
            </w:tcBorders>
            <w:vAlign w:val="center"/>
            <w:hideMark/>
          </w:tcPr>
          <w:p w14:paraId="5D523777" w14:textId="77777777" w:rsidR="00FA477B" w:rsidRDefault="00FA477B" w:rsidP="00264A14">
            <w:pPr>
              <w:rPr>
                <w:lang w:val="de-AT" w:eastAsia="de-AT"/>
              </w:rPr>
            </w:pPr>
            <w:r>
              <w:rPr>
                <w:lang w:val="de-AT" w:eastAsia="de-AT"/>
              </w:rPr>
              <w:t>Fahrzeug 7</w:t>
            </w:r>
          </w:p>
        </w:tc>
        <w:tc>
          <w:tcPr>
            <w:tcW w:w="910" w:type="dxa"/>
            <w:tcBorders>
              <w:top w:val="single" w:sz="4" w:space="0" w:color="auto"/>
              <w:left w:val="single" w:sz="4" w:space="0" w:color="auto"/>
              <w:bottom w:val="single" w:sz="4" w:space="0" w:color="auto"/>
              <w:right w:val="single" w:sz="4" w:space="0" w:color="auto"/>
            </w:tcBorders>
            <w:vAlign w:val="center"/>
          </w:tcPr>
          <w:p w14:paraId="3626A919" w14:textId="77777777" w:rsidR="00FA477B" w:rsidRDefault="00FA477B" w:rsidP="00264A14">
            <w:pPr>
              <w:rPr>
                <w:lang w:val="de-AT" w:eastAsia="de-AT"/>
              </w:rPr>
            </w:pPr>
          </w:p>
        </w:tc>
        <w:tc>
          <w:tcPr>
            <w:tcW w:w="1040" w:type="dxa"/>
            <w:tcBorders>
              <w:top w:val="single" w:sz="4" w:space="0" w:color="auto"/>
              <w:left w:val="single" w:sz="4" w:space="0" w:color="auto"/>
              <w:bottom w:val="single" w:sz="4" w:space="0" w:color="auto"/>
              <w:right w:val="single" w:sz="4" w:space="0" w:color="auto"/>
            </w:tcBorders>
            <w:vAlign w:val="center"/>
          </w:tcPr>
          <w:p w14:paraId="0431E7E5" w14:textId="77777777" w:rsidR="00FA477B" w:rsidRDefault="00FA477B" w:rsidP="00264A14">
            <w:pPr>
              <w:rPr>
                <w:lang w:val="de-AT" w:eastAsia="de-AT"/>
              </w:rPr>
            </w:pPr>
          </w:p>
        </w:tc>
        <w:tc>
          <w:tcPr>
            <w:tcW w:w="1859" w:type="dxa"/>
            <w:tcBorders>
              <w:top w:val="single" w:sz="4" w:space="0" w:color="auto"/>
              <w:left w:val="single" w:sz="4" w:space="0" w:color="auto"/>
              <w:bottom w:val="single" w:sz="4" w:space="0" w:color="auto"/>
              <w:right w:val="single" w:sz="4" w:space="0" w:color="auto"/>
            </w:tcBorders>
            <w:vAlign w:val="center"/>
          </w:tcPr>
          <w:p w14:paraId="0999FE6F" w14:textId="77777777" w:rsidR="00FA477B" w:rsidRDefault="00FA477B" w:rsidP="00264A14">
            <w:pPr>
              <w:rPr>
                <w:lang w:val="de-AT" w:eastAsia="de-AT"/>
              </w:rPr>
            </w:pPr>
          </w:p>
        </w:tc>
        <w:tc>
          <w:tcPr>
            <w:tcW w:w="1630" w:type="dxa"/>
            <w:tcBorders>
              <w:top w:val="single" w:sz="4" w:space="0" w:color="auto"/>
              <w:left w:val="single" w:sz="4" w:space="0" w:color="auto"/>
              <w:bottom w:val="single" w:sz="4" w:space="0" w:color="auto"/>
              <w:right w:val="single" w:sz="4" w:space="0" w:color="auto"/>
            </w:tcBorders>
            <w:vAlign w:val="center"/>
          </w:tcPr>
          <w:p w14:paraId="73C28B50" w14:textId="77777777" w:rsidR="00FA477B" w:rsidRDefault="00FA477B" w:rsidP="00264A14">
            <w:pPr>
              <w:rPr>
                <w:lang w:val="de-AT" w:eastAsia="de-AT"/>
              </w:rPr>
            </w:pPr>
          </w:p>
        </w:tc>
        <w:tc>
          <w:tcPr>
            <w:tcW w:w="1256" w:type="dxa"/>
            <w:tcBorders>
              <w:top w:val="single" w:sz="4" w:space="0" w:color="auto"/>
              <w:left w:val="single" w:sz="4" w:space="0" w:color="auto"/>
              <w:bottom w:val="single" w:sz="4" w:space="0" w:color="auto"/>
              <w:right w:val="single" w:sz="12" w:space="0" w:color="auto"/>
            </w:tcBorders>
            <w:vAlign w:val="center"/>
          </w:tcPr>
          <w:p w14:paraId="0967759A" w14:textId="77777777" w:rsidR="00FA477B" w:rsidRDefault="00FA477B" w:rsidP="00264A14">
            <w:pPr>
              <w:rPr>
                <w:lang w:val="de-AT" w:eastAsia="de-AT"/>
              </w:rPr>
            </w:pPr>
          </w:p>
        </w:tc>
      </w:tr>
      <w:tr w:rsidR="00FA477B" w14:paraId="3670C108" w14:textId="77777777" w:rsidTr="00242C69">
        <w:trPr>
          <w:trHeight w:val="397"/>
        </w:trPr>
        <w:tc>
          <w:tcPr>
            <w:tcW w:w="2772" w:type="dxa"/>
            <w:tcBorders>
              <w:top w:val="single" w:sz="4" w:space="0" w:color="auto"/>
              <w:left w:val="single" w:sz="12" w:space="0" w:color="auto"/>
              <w:bottom w:val="single" w:sz="4" w:space="0" w:color="auto"/>
              <w:right w:val="single" w:sz="4" w:space="0" w:color="auto"/>
            </w:tcBorders>
            <w:vAlign w:val="center"/>
            <w:hideMark/>
          </w:tcPr>
          <w:p w14:paraId="531A41BC" w14:textId="77777777" w:rsidR="00FA477B" w:rsidRDefault="00FA477B" w:rsidP="00264A14">
            <w:pPr>
              <w:rPr>
                <w:lang w:val="de-AT" w:eastAsia="de-AT"/>
              </w:rPr>
            </w:pPr>
            <w:r>
              <w:rPr>
                <w:lang w:val="de-AT" w:eastAsia="de-AT"/>
              </w:rPr>
              <w:t>Fahrzeug 8</w:t>
            </w:r>
          </w:p>
        </w:tc>
        <w:tc>
          <w:tcPr>
            <w:tcW w:w="910" w:type="dxa"/>
            <w:tcBorders>
              <w:top w:val="single" w:sz="4" w:space="0" w:color="auto"/>
              <w:left w:val="single" w:sz="4" w:space="0" w:color="auto"/>
              <w:bottom w:val="single" w:sz="4" w:space="0" w:color="auto"/>
              <w:right w:val="single" w:sz="4" w:space="0" w:color="auto"/>
            </w:tcBorders>
            <w:vAlign w:val="center"/>
          </w:tcPr>
          <w:p w14:paraId="3158BAAA" w14:textId="77777777" w:rsidR="00FA477B" w:rsidRDefault="00FA477B" w:rsidP="00264A14">
            <w:pPr>
              <w:rPr>
                <w:lang w:val="de-AT" w:eastAsia="de-AT"/>
              </w:rPr>
            </w:pPr>
          </w:p>
        </w:tc>
        <w:tc>
          <w:tcPr>
            <w:tcW w:w="1040" w:type="dxa"/>
            <w:tcBorders>
              <w:top w:val="single" w:sz="4" w:space="0" w:color="auto"/>
              <w:left w:val="single" w:sz="4" w:space="0" w:color="auto"/>
              <w:bottom w:val="single" w:sz="4" w:space="0" w:color="auto"/>
              <w:right w:val="single" w:sz="4" w:space="0" w:color="auto"/>
            </w:tcBorders>
            <w:vAlign w:val="center"/>
          </w:tcPr>
          <w:p w14:paraId="33FDDEC8" w14:textId="77777777" w:rsidR="00FA477B" w:rsidRDefault="00FA477B" w:rsidP="00264A14">
            <w:pPr>
              <w:rPr>
                <w:lang w:val="de-AT" w:eastAsia="de-AT"/>
              </w:rPr>
            </w:pPr>
          </w:p>
        </w:tc>
        <w:tc>
          <w:tcPr>
            <w:tcW w:w="1859" w:type="dxa"/>
            <w:tcBorders>
              <w:top w:val="single" w:sz="4" w:space="0" w:color="auto"/>
              <w:left w:val="single" w:sz="4" w:space="0" w:color="auto"/>
              <w:bottom w:val="single" w:sz="4" w:space="0" w:color="auto"/>
              <w:right w:val="single" w:sz="4" w:space="0" w:color="auto"/>
            </w:tcBorders>
            <w:vAlign w:val="center"/>
          </w:tcPr>
          <w:p w14:paraId="2D585C06" w14:textId="77777777" w:rsidR="00FA477B" w:rsidRDefault="00FA477B" w:rsidP="00264A14">
            <w:pPr>
              <w:rPr>
                <w:lang w:val="de-AT" w:eastAsia="de-AT"/>
              </w:rPr>
            </w:pPr>
          </w:p>
        </w:tc>
        <w:tc>
          <w:tcPr>
            <w:tcW w:w="1630" w:type="dxa"/>
            <w:tcBorders>
              <w:top w:val="single" w:sz="4" w:space="0" w:color="auto"/>
              <w:left w:val="single" w:sz="4" w:space="0" w:color="auto"/>
              <w:bottom w:val="single" w:sz="4" w:space="0" w:color="auto"/>
              <w:right w:val="single" w:sz="4" w:space="0" w:color="auto"/>
            </w:tcBorders>
            <w:vAlign w:val="center"/>
          </w:tcPr>
          <w:p w14:paraId="31CF22F4" w14:textId="77777777" w:rsidR="00FA477B" w:rsidRDefault="00FA477B" w:rsidP="00264A14">
            <w:pPr>
              <w:rPr>
                <w:lang w:val="de-AT" w:eastAsia="de-AT"/>
              </w:rPr>
            </w:pPr>
          </w:p>
        </w:tc>
        <w:tc>
          <w:tcPr>
            <w:tcW w:w="1256" w:type="dxa"/>
            <w:tcBorders>
              <w:top w:val="single" w:sz="4" w:space="0" w:color="auto"/>
              <w:left w:val="single" w:sz="4" w:space="0" w:color="auto"/>
              <w:bottom w:val="single" w:sz="4" w:space="0" w:color="auto"/>
              <w:right w:val="single" w:sz="12" w:space="0" w:color="auto"/>
            </w:tcBorders>
            <w:vAlign w:val="center"/>
          </w:tcPr>
          <w:p w14:paraId="727CBD22" w14:textId="77777777" w:rsidR="00FA477B" w:rsidRDefault="00FA477B" w:rsidP="00264A14">
            <w:pPr>
              <w:rPr>
                <w:lang w:val="de-AT" w:eastAsia="de-AT"/>
              </w:rPr>
            </w:pPr>
          </w:p>
        </w:tc>
      </w:tr>
      <w:tr w:rsidR="00FA477B" w14:paraId="17C975CC" w14:textId="77777777" w:rsidTr="00242C69">
        <w:trPr>
          <w:trHeight w:val="397"/>
        </w:trPr>
        <w:tc>
          <w:tcPr>
            <w:tcW w:w="2772" w:type="dxa"/>
            <w:tcBorders>
              <w:top w:val="single" w:sz="4" w:space="0" w:color="auto"/>
              <w:left w:val="single" w:sz="12" w:space="0" w:color="auto"/>
              <w:bottom w:val="single" w:sz="4" w:space="0" w:color="auto"/>
              <w:right w:val="single" w:sz="4" w:space="0" w:color="auto"/>
            </w:tcBorders>
            <w:vAlign w:val="center"/>
            <w:hideMark/>
          </w:tcPr>
          <w:p w14:paraId="1EAA172A" w14:textId="77777777" w:rsidR="00FA477B" w:rsidRDefault="00FA477B" w:rsidP="00264A14">
            <w:pPr>
              <w:rPr>
                <w:lang w:val="de-AT" w:eastAsia="de-AT"/>
              </w:rPr>
            </w:pPr>
            <w:r>
              <w:rPr>
                <w:lang w:val="de-AT" w:eastAsia="de-AT"/>
              </w:rPr>
              <w:t>Fahrzeug 9</w:t>
            </w:r>
          </w:p>
        </w:tc>
        <w:tc>
          <w:tcPr>
            <w:tcW w:w="910" w:type="dxa"/>
            <w:tcBorders>
              <w:top w:val="single" w:sz="4" w:space="0" w:color="auto"/>
              <w:left w:val="single" w:sz="4" w:space="0" w:color="auto"/>
              <w:bottom w:val="single" w:sz="4" w:space="0" w:color="auto"/>
              <w:right w:val="single" w:sz="4" w:space="0" w:color="auto"/>
            </w:tcBorders>
            <w:vAlign w:val="center"/>
          </w:tcPr>
          <w:p w14:paraId="7E477621" w14:textId="77777777" w:rsidR="00FA477B" w:rsidRDefault="00FA477B" w:rsidP="00264A14">
            <w:pPr>
              <w:rPr>
                <w:lang w:val="de-AT" w:eastAsia="de-AT"/>
              </w:rPr>
            </w:pPr>
          </w:p>
        </w:tc>
        <w:tc>
          <w:tcPr>
            <w:tcW w:w="1040" w:type="dxa"/>
            <w:tcBorders>
              <w:top w:val="single" w:sz="4" w:space="0" w:color="auto"/>
              <w:left w:val="single" w:sz="4" w:space="0" w:color="auto"/>
              <w:bottom w:val="single" w:sz="4" w:space="0" w:color="auto"/>
              <w:right w:val="single" w:sz="4" w:space="0" w:color="auto"/>
            </w:tcBorders>
            <w:vAlign w:val="center"/>
          </w:tcPr>
          <w:p w14:paraId="168BC1F5" w14:textId="77777777" w:rsidR="00FA477B" w:rsidRDefault="00FA477B" w:rsidP="00264A14">
            <w:pPr>
              <w:rPr>
                <w:lang w:val="de-AT" w:eastAsia="de-AT"/>
              </w:rPr>
            </w:pPr>
          </w:p>
        </w:tc>
        <w:tc>
          <w:tcPr>
            <w:tcW w:w="1859" w:type="dxa"/>
            <w:tcBorders>
              <w:top w:val="single" w:sz="4" w:space="0" w:color="auto"/>
              <w:left w:val="single" w:sz="4" w:space="0" w:color="auto"/>
              <w:bottom w:val="single" w:sz="4" w:space="0" w:color="auto"/>
              <w:right w:val="single" w:sz="4" w:space="0" w:color="auto"/>
            </w:tcBorders>
            <w:vAlign w:val="center"/>
          </w:tcPr>
          <w:p w14:paraId="0A9C9220" w14:textId="77777777" w:rsidR="00FA477B" w:rsidRDefault="00FA477B" w:rsidP="00264A14">
            <w:pPr>
              <w:rPr>
                <w:lang w:val="de-AT" w:eastAsia="de-AT"/>
              </w:rPr>
            </w:pPr>
          </w:p>
        </w:tc>
        <w:tc>
          <w:tcPr>
            <w:tcW w:w="1630" w:type="dxa"/>
            <w:tcBorders>
              <w:top w:val="single" w:sz="4" w:space="0" w:color="auto"/>
              <w:left w:val="single" w:sz="4" w:space="0" w:color="auto"/>
              <w:bottom w:val="single" w:sz="4" w:space="0" w:color="auto"/>
              <w:right w:val="single" w:sz="4" w:space="0" w:color="auto"/>
            </w:tcBorders>
            <w:vAlign w:val="center"/>
          </w:tcPr>
          <w:p w14:paraId="339E78FE" w14:textId="77777777" w:rsidR="00FA477B" w:rsidRDefault="00FA477B" w:rsidP="00264A14">
            <w:pPr>
              <w:rPr>
                <w:lang w:val="de-AT" w:eastAsia="de-AT"/>
              </w:rPr>
            </w:pPr>
          </w:p>
        </w:tc>
        <w:tc>
          <w:tcPr>
            <w:tcW w:w="1256" w:type="dxa"/>
            <w:tcBorders>
              <w:top w:val="single" w:sz="4" w:space="0" w:color="auto"/>
              <w:left w:val="single" w:sz="4" w:space="0" w:color="auto"/>
              <w:bottom w:val="single" w:sz="4" w:space="0" w:color="auto"/>
              <w:right w:val="single" w:sz="12" w:space="0" w:color="auto"/>
            </w:tcBorders>
            <w:vAlign w:val="center"/>
          </w:tcPr>
          <w:p w14:paraId="619477EC" w14:textId="77777777" w:rsidR="00FA477B" w:rsidRDefault="00FA477B" w:rsidP="00264A14">
            <w:pPr>
              <w:rPr>
                <w:lang w:val="de-AT" w:eastAsia="de-AT"/>
              </w:rPr>
            </w:pPr>
          </w:p>
        </w:tc>
      </w:tr>
      <w:tr w:rsidR="00FA477B" w14:paraId="67F3FC28" w14:textId="77777777" w:rsidTr="00242C69">
        <w:trPr>
          <w:trHeight w:val="397"/>
        </w:trPr>
        <w:tc>
          <w:tcPr>
            <w:tcW w:w="2772" w:type="dxa"/>
            <w:tcBorders>
              <w:top w:val="single" w:sz="4" w:space="0" w:color="auto"/>
              <w:left w:val="single" w:sz="12" w:space="0" w:color="auto"/>
              <w:bottom w:val="single" w:sz="4" w:space="0" w:color="auto"/>
              <w:right w:val="single" w:sz="4" w:space="0" w:color="auto"/>
            </w:tcBorders>
            <w:vAlign w:val="center"/>
            <w:hideMark/>
          </w:tcPr>
          <w:p w14:paraId="26B8DD84" w14:textId="77777777" w:rsidR="00FA477B" w:rsidRDefault="00FA477B" w:rsidP="00264A14">
            <w:pPr>
              <w:rPr>
                <w:lang w:val="de-AT" w:eastAsia="de-AT"/>
              </w:rPr>
            </w:pPr>
            <w:r>
              <w:rPr>
                <w:lang w:val="de-AT" w:eastAsia="de-AT"/>
              </w:rPr>
              <w:t>Fahrzeug 10</w:t>
            </w:r>
          </w:p>
        </w:tc>
        <w:tc>
          <w:tcPr>
            <w:tcW w:w="910" w:type="dxa"/>
            <w:tcBorders>
              <w:top w:val="single" w:sz="4" w:space="0" w:color="auto"/>
              <w:left w:val="single" w:sz="4" w:space="0" w:color="auto"/>
              <w:bottom w:val="single" w:sz="4" w:space="0" w:color="auto"/>
              <w:right w:val="single" w:sz="4" w:space="0" w:color="auto"/>
            </w:tcBorders>
            <w:vAlign w:val="center"/>
          </w:tcPr>
          <w:p w14:paraId="1D16D298" w14:textId="77777777" w:rsidR="00FA477B" w:rsidRDefault="00FA477B" w:rsidP="00264A14">
            <w:pPr>
              <w:rPr>
                <w:lang w:val="de-AT" w:eastAsia="de-AT"/>
              </w:rPr>
            </w:pPr>
          </w:p>
        </w:tc>
        <w:tc>
          <w:tcPr>
            <w:tcW w:w="1040" w:type="dxa"/>
            <w:tcBorders>
              <w:top w:val="single" w:sz="4" w:space="0" w:color="auto"/>
              <w:left w:val="single" w:sz="4" w:space="0" w:color="auto"/>
              <w:bottom w:val="single" w:sz="4" w:space="0" w:color="auto"/>
              <w:right w:val="single" w:sz="4" w:space="0" w:color="auto"/>
            </w:tcBorders>
            <w:vAlign w:val="center"/>
          </w:tcPr>
          <w:p w14:paraId="0F99C932" w14:textId="77777777" w:rsidR="00FA477B" w:rsidRDefault="00FA477B" w:rsidP="00264A14">
            <w:pPr>
              <w:rPr>
                <w:lang w:val="de-AT" w:eastAsia="de-AT"/>
              </w:rPr>
            </w:pPr>
          </w:p>
        </w:tc>
        <w:tc>
          <w:tcPr>
            <w:tcW w:w="1859" w:type="dxa"/>
            <w:tcBorders>
              <w:top w:val="single" w:sz="4" w:space="0" w:color="auto"/>
              <w:left w:val="single" w:sz="4" w:space="0" w:color="auto"/>
              <w:bottom w:val="single" w:sz="4" w:space="0" w:color="auto"/>
              <w:right w:val="single" w:sz="4" w:space="0" w:color="auto"/>
            </w:tcBorders>
            <w:vAlign w:val="center"/>
          </w:tcPr>
          <w:p w14:paraId="19C82A94" w14:textId="77777777" w:rsidR="00FA477B" w:rsidRDefault="00FA477B" w:rsidP="00264A14">
            <w:pPr>
              <w:rPr>
                <w:lang w:val="de-AT" w:eastAsia="de-AT"/>
              </w:rPr>
            </w:pPr>
          </w:p>
        </w:tc>
        <w:tc>
          <w:tcPr>
            <w:tcW w:w="1630" w:type="dxa"/>
            <w:tcBorders>
              <w:top w:val="single" w:sz="4" w:space="0" w:color="auto"/>
              <w:left w:val="single" w:sz="4" w:space="0" w:color="auto"/>
              <w:bottom w:val="single" w:sz="4" w:space="0" w:color="auto"/>
              <w:right w:val="single" w:sz="4" w:space="0" w:color="auto"/>
            </w:tcBorders>
            <w:vAlign w:val="center"/>
          </w:tcPr>
          <w:p w14:paraId="2F163813" w14:textId="77777777" w:rsidR="00FA477B" w:rsidRDefault="00FA477B" w:rsidP="00264A14">
            <w:pPr>
              <w:rPr>
                <w:lang w:val="de-AT" w:eastAsia="de-AT"/>
              </w:rPr>
            </w:pPr>
          </w:p>
        </w:tc>
        <w:tc>
          <w:tcPr>
            <w:tcW w:w="1256" w:type="dxa"/>
            <w:tcBorders>
              <w:top w:val="single" w:sz="4" w:space="0" w:color="auto"/>
              <w:left w:val="single" w:sz="4" w:space="0" w:color="auto"/>
              <w:bottom w:val="single" w:sz="4" w:space="0" w:color="auto"/>
              <w:right w:val="single" w:sz="12" w:space="0" w:color="auto"/>
            </w:tcBorders>
            <w:vAlign w:val="center"/>
          </w:tcPr>
          <w:p w14:paraId="0271EF3F" w14:textId="77777777" w:rsidR="00FA477B" w:rsidRDefault="00FA477B" w:rsidP="00264A14">
            <w:pPr>
              <w:rPr>
                <w:lang w:val="de-AT" w:eastAsia="de-AT"/>
              </w:rPr>
            </w:pPr>
          </w:p>
        </w:tc>
      </w:tr>
    </w:tbl>
    <w:p w14:paraId="0F5D48F5" w14:textId="08C49495" w:rsidR="00242C69" w:rsidRDefault="00242C69"/>
    <w:p w14:paraId="7884C6BB" w14:textId="18C8F364" w:rsidR="00242C69" w:rsidRDefault="00242C69"/>
    <w:p w14:paraId="702DF5C1" w14:textId="2E39D052" w:rsidR="00242C69" w:rsidRDefault="00242C69"/>
    <w:p w14:paraId="0DF03D64" w14:textId="2C5E8F6B" w:rsidR="00FA477B" w:rsidRDefault="00FA477B" w:rsidP="00264A14">
      <w:pPr>
        <w:pStyle w:val="berschrift3"/>
      </w:pPr>
      <w:bookmarkStart w:id="54" w:name="_Toc54440156"/>
      <w:bookmarkStart w:id="55" w:name="_Toc54595574"/>
      <w:r w:rsidRPr="00BE26E0">
        <w:t>Raum</w:t>
      </w:r>
      <w:r>
        <w:t>abmessungen und Belüftung</w:t>
      </w:r>
      <w:bookmarkEnd w:id="54"/>
      <w:bookmarkEnd w:id="55"/>
    </w:p>
    <w:p w14:paraId="1A83D115" w14:textId="77777777" w:rsidR="00242C69" w:rsidRDefault="00242C69" w:rsidP="00242C69"/>
    <w:tbl>
      <w:tblPr>
        <w:tblStyle w:val="Tabellenrast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71"/>
        <w:gridCol w:w="625"/>
        <w:gridCol w:w="1846"/>
        <w:gridCol w:w="1414"/>
        <w:gridCol w:w="3095"/>
      </w:tblGrid>
      <w:tr w:rsidR="00242C69" w:rsidRPr="00BE26E0" w14:paraId="7E50548D" w14:textId="77777777" w:rsidTr="00915DF6">
        <w:trPr>
          <w:trHeight w:val="156"/>
        </w:trPr>
        <w:tc>
          <w:tcPr>
            <w:tcW w:w="2471" w:type="dxa"/>
            <w:vMerge w:val="restart"/>
            <w:shd w:val="clear" w:color="auto" w:fill="BFBFBF" w:themeFill="background1" w:themeFillShade="BF"/>
          </w:tcPr>
          <w:p w14:paraId="751F2691" w14:textId="77777777" w:rsidR="00242C69" w:rsidRPr="00BE26E0" w:rsidRDefault="00242C69" w:rsidP="00915DF6">
            <w:r w:rsidRPr="00BE26E0">
              <w:t xml:space="preserve">Raum </w:t>
            </w:r>
          </w:p>
        </w:tc>
        <w:tc>
          <w:tcPr>
            <w:tcW w:w="2471" w:type="dxa"/>
            <w:gridSpan w:val="2"/>
            <w:shd w:val="clear" w:color="auto" w:fill="BFBFBF" w:themeFill="background1" w:themeFillShade="BF"/>
          </w:tcPr>
          <w:p w14:paraId="47178E59" w14:textId="77777777" w:rsidR="00242C69" w:rsidRPr="00B2359B" w:rsidRDefault="00242C69" w:rsidP="00915DF6">
            <w:r w:rsidRPr="00B2359B">
              <w:t>Bezeichnung</w:t>
            </w:r>
          </w:p>
        </w:tc>
        <w:tc>
          <w:tcPr>
            <w:tcW w:w="4509" w:type="dxa"/>
            <w:gridSpan w:val="2"/>
            <w:shd w:val="clear" w:color="auto" w:fill="BFBFBF" w:themeFill="background1" w:themeFillShade="BF"/>
          </w:tcPr>
          <w:p w14:paraId="6DBCC7F8" w14:textId="77777777" w:rsidR="00242C69" w:rsidRPr="00BE26E0" w:rsidRDefault="00242C69" w:rsidP="00915DF6"/>
        </w:tc>
      </w:tr>
      <w:tr w:rsidR="00242C69" w:rsidRPr="00BE26E0" w14:paraId="3307EBA9" w14:textId="77777777" w:rsidTr="00915DF6">
        <w:trPr>
          <w:trHeight w:val="155"/>
        </w:trPr>
        <w:tc>
          <w:tcPr>
            <w:tcW w:w="2471" w:type="dxa"/>
            <w:vMerge/>
            <w:shd w:val="clear" w:color="auto" w:fill="BFBFBF" w:themeFill="background1" w:themeFillShade="BF"/>
          </w:tcPr>
          <w:p w14:paraId="6AC88EF2" w14:textId="77777777" w:rsidR="00242C69" w:rsidRPr="00BE26E0" w:rsidRDefault="00242C69" w:rsidP="00915DF6"/>
        </w:tc>
        <w:tc>
          <w:tcPr>
            <w:tcW w:w="2471" w:type="dxa"/>
            <w:gridSpan w:val="2"/>
            <w:shd w:val="clear" w:color="auto" w:fill="BFBFBF" w:themeFill="background1" w:themeFillShade="BF"/>
          </w:tcPr>
          <w:p w14:paraId="2B20BF25" w14:textId="77777777" w:rsidR="00242C69" w:rsidRPr="00B2359B" w:rsidRDefault="00242C69" w:rsidP="00915DF6">
            <w:pPr>
              <w:rPr>
                <w:rFonts w:cs="Arial"/>
              </w:rPr>
            </w:pPr>
            <w:r w:rsidRPr="00B2359B">
              <w:t>Abmessungen</w:t>
            </w:r>
            <w:r>
              <w:t xml:space="preserve"> (m)</w:t>
            </w:r>
            <w:r w:rsidRPr="00B2359B">
              <w:t>:</w:t>
            </w:r>
          </w:p>
        </w:tc>
        <w:tc>
          <w:tcPr>
            <w:tcW w:w="4509" w:type="dxa"/>
            <w:gridSpan w:val="2"/>
            <w:shd w:val="clear" w:color="auto" w:fill="BFBFBF" w:themeFill="background1" w:themeFillShade="BF"/>
          </w:tcPr>
          <w:p w14:paraId="2251B134" w14:textId="77777777" w:rsidR="00242C69" w:rsidRDefault="00242C69" w:rsidP="00915DF6">
            <w:r>
              <w:t xml:space="preserve">Länge: </w:t>
            </w:r>
            <w:r>
              <w:tab/>
            </w:r>
            <w:r>
              <w:tab/>
              <w:t xml:space="preserve">Breite: </w:t>
            </w:r>
            <w:r>
              <w:tab/>
            </w:r>
            <w:r>
              <w:tab/>
              <w:t>Höhe:</w:t>
            </w:r>
            <w:r>
              <w:tab/>
            </w:r>
          </w:p>
        </w:tc>
      </w:tr>
      <w:tr w:rsidR="00242C69" w:rsidRPr="00BE26E0" w14:paraId="000EC07B" w14:textId="77777777" w:rsidTr="00915DF6">
        <w:trPr>
          <w:trHeight w:val="155"/>
        </w:trPr>
        <w:tc>
          <w:tcPr>
            <w:tcW w:w="2471" w:type="dxa"/>
            <w:vMerge/>
            <w:shd w:val="clear" w:color="auto" w:fill="BFBFBF" w:themeFill="background1" w:themeFillShade="BF"/>
          </w:tcPr>
          <w:p w14:paraId="51E88F14" w14:textId="77777777" w:rsidR="00242C69" w:rsidRPr="00BE26E0" w:rsidRDefault="00242C69" w:rsidP="00915DF6"/>
        </w:tc>
        <w:tc>
          <w:tcPr>
            <w:tcW w:w="2471" w:type="dxa"/>
            <w:gridSpan w:val="2"/>
            <w:shd w:val="clear" w:color="auto" w:fill="BFBFBF" w:themeFill="background1" w:themeFillShade="BF"/>
          </w:tcPr>
          <w:p w14:paraId="61C5E68D" w14:textId="77777777" w:rsidR="00242C69" w:rsidRPr="00B2359B" w:rsidRDefault="00242C69" w:rsidP="00915DF6">
            <w:pPr>
              <w:rPr>
                <w:rFonts w:cs="Arial"/>
              </w:rPr>
            </w:pPr>
            <w:r w:rsidRPr="00B2359B">
              <w:t>Raumvolumen</w:t>
            </w:r>
            <w:r>
              <w:t xml:space="preserve"> (m³)</w:t>
            </w:r>
            <w:r w:rsidRPr="00B2359B">
              <w:t>:</w:t>
            </w:r>
          </w:p>
        </w:tc>
        <w:tc>
          <w:tcPr>
            <w:tcW w:w="4509" w:type="dxa"/>
            <w:gridSpan w:val="2"/>
            <w:shd w:val="clear" w:color="auto" w:fill="BFBFBF" w:themeFill="background1" w:themeFillShade="BF"/>
          </w:tcPr>
          <w:p w14:paraId="002AABD5" w14:textId="77777777" w:rsidR="00242C69" w:rsidRDefault="00242C69" w:rsidP="00915DF6"/>
        </w:tc>
      </w:tr>
      <w:tr w:rsidR="00242C69" w:rsidRPr="00BE26E0" w14:paraId="0FE16DB0" w14:textId="77777777" w:rsidTr="00915DF6">
        <w:tc>
          <w:tcPr>
            <w:tcW w:w="4942" w:type="dxa"/>
            <w:gridSpan w:val="3"/>
            <w:vAlign w:val="center"/>
          </w:tcPr>
          <w:p w14:paraId="50FAE7B4" w14:textId="77777777" w:rsidR="00242C69" w:rsidRPr="00BE26E0" w:rsidRDefault="00242C69" w:rsidP="00915DF6">
            <w:r w:rsidRPr="00BE26E0">
              <w:t>Anzahl der Zellen im Raum? (n)</w:t>
            </w:r>
          </w:p>
        </w:tc>
        <w:tc>
          <w:tcPr>
            <w:tcW w:w="4509" w:type="dxa"/>
            <w:gridSpan w:val="2"/>
            <w:vAlign w:val="center"/>
          </w:tcPr>
          <w:p w14:paraId="4497D55F" w14:textId="77777777" w:rsidR="00242C69" w:rsidRPr="00BE26E0" w:rsidRDefault="00242C69" w:rsidP="00915DF6"/>
        </w:tc>
      </w:tr>
      <w:tr w:rsidR="00242C69" w:rsidRPr="00BE26E0" w14:paraId="388C7634" w14:textId="77777777" w:rsidTr="00915DF6">
        <w:tc>
          <w:tcPr>
            <w:tcW w:w="4942" w:type="dxa"/>
            <w:gridSpan w:val="3"/>
            <w:vAlign w:val="center"/>
          </w:tcPr>
          <w:p w14:paraId="5639BA0D" w14:textId="77777777" w:rsidR="00242C69" w:rsidRPr="00BE26E0" w:rsidRDefault="00242C69" w:rsidP="00915DF6">
            <w:r w:rsidRPr="00BE26E0">
              <w:t>Gesamtkapazität im Raum? (Ah)</w:t>
            </w:r>
          </w:p>
        </w:tc>
        <w:tc>
          <w:tcPr>
            <w:tcW w:w="4509" w:type="dxa"/>
            <w:gridSpan w:val="2"/>
            <w:vAlign w:val="center"/>
          </w:tcPr>
          <w:p w14:paraId="7FA358A4" w14:textId="77777777" w:rsidR="00242C69" w:rsidRPr="00BE26E0" w:rsidRDefault="00242C69" w:rsidP="00915DF6"/>
        </w:tc>
      </w:tr>
      <w:tr w:rsidR="00242C69" w:rsidRPr="00BE26E0" w14:paraId="0C646627" w14:textId="77777777" w:rsidTr="00915DF6">
        <w:tc>
          <w:tcPr>
            <w:tcW w:w="4942" w:type="dxa"/>
            <w:gridSpan w:val="3"/>
            <w:vAlign w:val="center"/>
          </w:tcPr>
          <w:p w14:paraId="7F9F6EA5" w14:textId="77777777" w:rsidR="00242C69" w:rsidRPr="00BE26E0" w:rsidRDefault="00242C69" w:rsidP="00915DF6">
            <w:r w:rsidRPr="00BE26E0">
              <w:t>Maximaler Ladestrom? (I</w:t>
            </w:r>
            <w:r w:rsidRPr="00BE26E0">
              <w:rPr>
                <w:vertAlign w:val="subscript"/>
              </w:rPr>
              <w:t>Gas</w:t>
            </w:r>
            <w:r w:rsidRPr="00BE26E0">
              <w:t>)</w:t>
            </w:r>
          </w:p>
        </w:tc>
        <w:tc>
          <w:tcPr>
            <w:tcW w:w="4509" w:type="dxa"/>
            <w:gridSpan w:val="2"/>
            <w:vAlign w:val="center"/>
          </w:tcPr>
          <w:p w14:paraId="2264B444" w14:textId="77777777" w:rsidR="00242C69" w:rsidRPr="00BE26E0" w:rsidRDefault="00242C69" w:rsidP="00915DF6"/>
        </w:tc>
      </w:tr>
      <w:tr w:rsidR="00242C69" w:rsidRPr="00BE26E0" w14:paraId="5F4E58DA" w14:textId="77777777" w:rsidTr="00915DF6">
        <w:tc>
          <w:tcPr>
            <w:tcW w:w="4942" w:type="dxa"/>
            <w:gridSpan w:val="3"/>
            <w:vAlign w:val="center"/>
          </w:tcPr>
          <w:p w14:paraId="02AFAAA8" w14:textId="77777777" w:rsidR="00242C69" w:rsidRPr="00BE26E0" w:rsidRDefault="00242C69" w:rsidP="00915DF6">
            <w:r w:rsidRPr="00BE26E0">
              <w:t>Summe des erforderlichen Luftvolumenstromes Q</w:t>
            </w:r>
          </w:p>
          <w:p w14:paraId="2832A342" w14:textId="77777777" w:rsidR="00242C69" w:rsidRPr="00BE26E0" w:rsidRDefault="00242C69" w:rsidP="00915DF6">
            <w:r w:rsidRPr="00BE26E0">
              <w:t>Wert aus der Excelberechnung entnommen</w:t>
            </w:r>
          </w:p>
        </w:tc>
        <w:tc>
          <w:tcPr>
            <w:tcW w:w="4509" w:type="dxa"/>
            <w:gridSpan w:val="2"/>
            <w:vAlign w:val="center"/>
          </w:tcPr>
          <w:p w14:paraId="39ADE59C" w14:textId="77777777" w:rsidR="00242C69" w:rsidRPr="00BE26E0" w:rsidRDefault="00242C69" w:rsidP="00915DF6"/>
        </w:tc>
      </w:tr>
      <w:tr w:rsidR="00242C69" w:rsidRPr="00BE26E0" w14:paraId="040A4EC5" w14:textId="77777777" w:rsidTr="00915DF6">
        <w:tc>
          <w:tcPr>
            <w:tcW w:w="3096" w:type="dxa"/>
            <w:gridSpan w:val="2"/>
            <w:vAlign w:val="center"/>
          </w:tcPr>
          <w:p w14:paraId="5BB39276" w14:textId="77777777" w:rsidR="00242C69" w:rsidRPr="00BE26E0" w:rsidRDefault="00242C69" w:rsidP="00915DF6">
            <w:r>
              <w:t xml:space="preserve">Maßnahme (A) </w:t>
            </w:r>
            <w:sdt>
              <w:sdtPr>
                <w:id w:val="1141881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3260" w:type="dxa"/>
            <w:gridSpan w:val="2"/>
            <w:vAlign w:val="center"/>
          </w:tcPr>
          <w:p w14:paraId="1306AEF5" w14:textId="77777777" w:rsidR="00242C69" w:rsidRPr="00BE26E0" w:rsidRDefault="00242C69" w:rsidP="00915DF6">
            <w:r>
              <w:t xml:space="preserve">Maßnahme (B) </w:t>
            </w:r>
            <w:sdt>
              <w:sdtPr>
                <w:id w:val="7573987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95" w:type="dxa"/>
            <w:vAlign w:val="center"/>
          </w:tcPr>
          <w:p w14:paraId="0272AAAD" w14:textId="77777777" w:rsidR="00242C69" w:rsidRPr="00BE26E0" w:rsidRDefault="00242C69" w:rsidP="00915DF6">
            <w:r>
              <w:t xml:space="preserve">Maßnahme (C) </w:t>
            </w:r>
            <w:sdt>
              <w:sdtPr>
                <w:id w:val="1456367379"/>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r>
      <w:tr w:rsidR="00242C69" w:rsidRPr="00BE26E0" w14:paraId="334B4A5F" w14:textId="77777777" w:rsidTr="00915DF6">
        <w:tc>
          <w:tcPr>
            <w:tcW w:w="3096" w:type="dxa"/>
            <w:gridSpan w:val="2"/>
          </w:tcPr>
          <w:p w14:paraId="1A7C9D95" w14:textId="77777777" w:rsidR="00242C69" w:rsidRPr="00BE26E0" w:rsidRDefault="00242C69" w:rsidP="00915DF6">
            <w:r w:rsidRPr="00BE26E0">
              <w:t>Nat. Lüftung</w:t>
            </w:r>
          </w:p>
          <w:p w14:paraId="39B62893" w14:textId="77777777" w:rsidR="00242C69" w:rsidRDefault="00242C69" w:rsidP="00915DF6">
            <w:r w:rsidRPr="00BE26E0">
              <w:t>A</w:t>
            </w:r>
            <w:r w:rsidRPr="00BE26E0">
              <w:rPr>
                <w:vertAlign w:val="subscript"/>
              </w:rPr>
              <w:t xml:space="preserve"> </w:t>
            </w:r>
            <w:r w:rsidRPr="00BE26E0">
              <w:t xml:space="preserve">in </w:t>
            </w:r>
            <w:r>
              <w:t>[</w:t>
            </w:r>
            <w:r w:rsidRPr="00BE26E0">
              <w:t>cm²</w:t>
            </w:r>
            <w:r>
              <w:t>]</w:t>
            </w:r>
            <w:r w:rsidRPr="00BE26E0">
              <w:t xml:space="preserve"> = Q x 28 </w:t>
            </w:r>
            <w:r>
              <w:t>=</w:t>
            </w:r>
          </w:p>
          <w:p w14:paraId="1C3F56A0" w14:textId="77777777" w:rsidR="00242C69" w:rsidRDefault="00242C69" w:rsidP="00915DF6"/>
          <w:p w14:paraId="44EAF15F" w14:textId="77777777" w:rsidR="00242C69" w:rsidRPr="00BE26E0" w:rsidRDefault="00242C69" w:rsidP="00915DF6"/>
        </w:tc>
        <w:tc>
          <w:tcPr>
            <w:tcW w:w="3260" w:type="dxa"/>
            <w:gridSpan w:val="2"/>
          </w:tcPr>
          <w:p w14:paraId="043A9AAA" w14:textId="77777777" w:rsidR="00242C69" w:rsidRPr="00BE26E0" w:rsidRDefault="00242C69" w:rsidP="00915DF6">
            <w:r w:rsidRPr="00BE26E0">
              <w:t>Tech. Lüftung</w:t>
            </w:r>
          </w:p>
          <w:p w14:paraId="574C145E" w14:textId="77777777" w:rsidR="00242C69" w:rsidRPr="00BE26E0" w:rsidRDefault="00242C69" w:rsidP="00915DF6">
            <w:r w:rsidRPr="00BE26E0">
              <w:t>Q</w:t>
            </w:r>
            <w:r w:rsidRPr="00BE26E0">
              <w:rPr>
                <w:vertAlign w:val="subscript"/>
              </w:rPr>
              <w:t>Lüftung</w:t>
            </w:r>
            <w:r w:rsidRPr="00BE26E0">
              <w:t xml:space="preserve"> </w:t>
            </w:r>
            <w:r>
              <w:t>[</w:t>
            </w:r>
            <w:r w:rsidRPr="00BE26E0">
              <w:t>m³/h</w:t>
            </w:r>
            <w:r>
              <w:t>]</w:t>
            </w:r>
            <w:r w:rsidRPr="00BE26E0">
              <w:t xml:space="preserve"> = Q x </w:t>
            </w:r>
            <w:r>
              <w:t>5 =</w:t>
            </w:r>
          </w:p>
        </w:tc>
        <w:tc>
          <w:tcPr>
            <w:tcW w:w="3095" w:type="dxa"/>
          </w:tcPr>
          <w:p w14:paraId="1CB64539" w14:textId="77777777" w:rsidR="00242C69" w:rsidRDefault="00242C69" w:rsidP="00915DF6">
            <w:r w:rsidRPr="009D4277">
              <w:t>Nahbereich der Batterie</w:t>
            </w:r>
          </w:p>
          <w:p w14:paraId="178A64D7" w14:textId="7173A11A" w:rsidR="00242C69" w:rsidRPr="00BE26E0" w:rsidRDefault="00242C69" w:rsidP="00915DF6">
            <w:r>
              <w:t xml:space="preserve">d [mm] = </w:t>
            </w:r>
            <w:r w:rsidRPr="00242C69">
              <w:rPr>
                <w:b/>
                <w:bCs/>
              </w:rPr>
              <w:t>500 mm</w:t>
            </w:r>
          </w:p>
        </w:tc>
      </w:tr>
      <w:tr w:rsidR="00242C69" w:rsidRPr="00BE26E0" w14:paraId="36F14F7B" w14:textId="77777777" w:rsidTr="00915DF6">
        <w:tc>
          <w:tcPr>
            <w:tcW w:w="3096" w:type="dxa"/>
            <w:gridSpan w:val="2"/>
          </w:tcPr>
          <w:p w14:paraId="6A70F62D" w14:textId="77777777" w:rsidR="00242C69" w:rsidRPr="00BE26E0" w:rsidRDefault="00242C69" w:rsidP="00915DF6">
            <w:r w:rsidRPr="00BE26E0">
              <w:t xml:space="preserve">Berechnung als Anhang? </w:t>
            </w:r>
            <w:sdt>
              <w:sdtPr>
                <w:id w:val="-11545994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60" w:type="dxa"/>
            <w:gridSpan w:val="2"/>
          </w:tcPr>
          <w:p w14:paraId="0AA10A1F" w14:textId="77777777" w:rsidR="00242C69" w:rsidRPr="00BE26E0" w:rsidRDefault="00242C69" w:rsidP="00915DF6">
            <w:r w:rsidRPr="00BE26E0">
              <w:t xml:space="preserve">Berechnung als Anhang? </w:t>
            </w:r>
            <w:sdt>
              <w:sdtPr>
                <w:id w:val="3996493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95" w:type="dxa"/>
          </w:tcPr>
          <w:sdt>
            <w:sdtPr>
              <w:id w:val="-993873479"/>
              <w14:checkbox>
                <w14:checked w14:val="0"/>
                <w14:checkedState w14:val="2612" w14:font="MS Gothic"/>
                <w14:uncheckedState w14:val="2610" w14:font="MS Gothic"/>
              </w14:checkbox>
            </w:sdtPr>
            <w:sdtEndPr/>
            <w:sdtContent>
              <w:p w14:paraId="5F0DFEB5" w14:textId="77777777" w:rsidR="00242C69" w:rsidRPr="00BE26E0" w:rsidRDefault="00242C69" w:rsidP="00915DF6">
                <w:r>
                  <w:rPr>
                    <w:rFonts w:ascii="MS Gothic" w:eastAsia="MS Gothic" w:hAnsi="MS Gothic" w:hint="eastAsia"/>
                  </w:rPr>
                  <w:t>☐</w:t>
                </w:r>
              </w:p>
            </w:sdtContent>
          </w:sdt>
        </w:tc>
      </w:tr>
      <w:tr w:rsidR="00242C69" w:rsidRPr="00BE26E0" w14:paraId="6030FF10" w14:textId="77777777" w:rsidTr="00915DF6">
        <w:tc>
          <w:tcPr>
            <w:tcW w:w="9451" w:type="dxa"/>
            <w:gridSpan w:val="5"/>
          </w:tcPr>
          <w:p w14:paraId="6282E079" w14:textId="77777777" w:rsidR="00242C69" w:rsidRDefault="00242C69" w:rsidP="00915DF6">
            <w:pPr>
              <w:rPr>
                <w:noProof/>
                <w:lang w:val="de-AT" w:eastAsia="de-AT"/>
              </w:rPr>
            </w:pPr>
          </w:p>
          <w:p w14:paraId="676D1E51" w14:textId="1CE7BE6F" w:rsidR="00242C69" w:rsidRPr="002C7269" w:rsidRDefault="00242C69" w:rsidP="00915DF6">
            <w:pPr>
              <w:rPr>
                <w:noProof/>
                <w:lang w:val="de-AT" w:eastAsia="de-AT"/>
              </w:rPr>
            </w:pPr>
            <w:r>
              <w:rPr>
                <w:noProof/>
                <w:lang w:val="de-AT" w:eastAsia="de-AT"/>
              </w:rPr>
              <w:t>Darstellung Ladebereich /Anmerkungen /Fotos</w:t>
            </w:r>
          </w:p>
        </w:tc>
      </w:tr>
    </w:tbl>
    <w:p w14:paraId="3B397812" w14:textId="3FBDA734" w:rsidR="00B2359B" w:rsidRDefault="00B2359B" w:rsidP="00264A14">
      <w:r>
        <w:br w:type="page"/>
      </w:r>
    </w:p>
    <w:tbl>
      <w:tblPr>
        <w:tblW w:w="95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5"/>
        <w:gridCol w:w="1842"/>
        <w:gridCol w:w="1843"/>
        <w:gridCol w:w="1843"/>
        <w:gridCol w:w="1843"/>
      </w:tblGrid>
      <w:tr w:rsidR="00437A38" w:rsidRPr="004A2C36" w14:paraId="4EF1D0CB" w14:textId="77777777" w:rsidTr="00150088">
        <w:trPr>
          <w:cantSplit/>
          <w:trHeight w:val="374"/>
        </w:trPr>
        <w:tc>
          <w:tcPr>
            <w:tcW w:w="9596" w:type="dxa"/>
            <w:gridSpan w:val="5"/>
            <w:shd w:val="clear" w:color="auto" w:fill="E7E6E6" w:themeFill="background2"/>
            <w:vAlign w:val="center"/>
          </w:tcPr>
          <w:p w14:paraId="583D9E61" w14:textId="77777777" w:rsidR="00437A38" w:rsidRPr="004A2C36" w:rsidRDefault="00437A38" w:rsidP="00264A14">
            <w:pPr>
              <w:pStyle w:val="berschrift1"/>
            </w:pPr>
            <w:bookmarkStart w:id="56" w:name="_Toc54433090"/>
            <w:bookmarkStart w:id="57" w:name="_Toc54440157"/>
            <w:bookmarkStart w:id="58" w:name="_Toc54595575"/>
            <w:r w:rsidRPr="004A2C36">
              <w:lastRenderedPageBreak/>
              <w:t>ERGEBNIS ZONENFESTLEGUNG</w:t>
            </w:r>
            <w:bookmarkEnd w:id="56"/>
            <w:bookmarkEnd w:id="57"/>
            <w:bookmarkEnd w:id="58"/>
          </w:p>
        </w:tc>
      </w:tr>
      <w:tr w:rsidR="00437A38" w:rsidRPr="004A2C36" w14:paraId="639AB7E2" w14:textId="77777777" w:rsidTr="00150088">
        <w:trPr>
          <w:cantSplit/>
        </w:trPr>
        <w:tc>
          <w:tcPr>
            <w:tcW w:w="2225" w:type="dxa"/>
          </w:tcPr>
          <w:p w14:paraId="2DE3E89E" w14:textId="77777777" w:rsidR="00437A38" w:rsidRPr="004A2C36" w:rsidRDefault="00437A38" w:rsidP="00264A14">
            <w:r w:rsidRPr="004A2C36">
              <w:t>Bereich</w:t>
            </w:r>
          </w:p>
        </w:tc>
        <w:tc>
          <w:tcPr>
            <w:tcW w:w="1842" w:type="dxa"/>
            <w:vMerge w:val="restart"/>
            <w:vAlign w:val="center"/>
          </w:tcPr>
          <w:p w14:paraId="1B5FCC51" w14:textId="77777777" w:rsidR="00437A38" w:rsidRPr="004A2C36" w:rsidRDefault="00437A38" w:rsidP="00264A14">
            <w:r w:rsidRPr="004A2C36">
              <w:t>Belüftung korrekt</w:t>
            </w:r>
          </w:p>
          <w:p w14:paraId="452E0DE0" w14:textId="77777777" w:rsidR="00437A38" w:rsidRPr="004A2C36" w:rsidRDefault="00437A38" w:rsidP="00264A14">
            <w:r w:rsidRPr="004A2C36">
              <w:t>Keine Zone</w:t>
            </w:r>
          </w:p>
        </w:tc>
        <w:tc>
          <w:tcPr>
            <w:tcW w:w="5529" w:type="dxa"/>
            <w:gridSpan w:val="3"/>
          </w:tcPr>
          <w:p w14:paraId="12D72B09" w14:textId="77777777" w:rsidR="00437A38" w:rsidRPr="004A2C36" w:rsidRDefault="00437A38" w:rsidP="00264A14">
            <w:bookmarkStart w:id="59" w:name="OLE_LINK1"/>
            <w:r w:rsidRPr="004A2C36">
              <w:t>Freisetzung von Gasen</w:t>
            </w:r>
            <w:bookmarkEnd w:id="59"/>
          </w:p>
        </w:tc>
      </w:tr>
      <w:tr w:rsidR="00437A38" w:rsidRPr="004A2C36" w14:paraId="0F29FDF5" w14:textId="77777777" w:rsidTr="00150088">
        <w:trPr>
          <w:cantSplit/>
        </w:trPr>
        <w:tc>
          <w:tcPr>
            <w:tcW w:w="2225" w:type="dxa"/>
          </w:tcPr>
          <w:p w14:paraId="418D3B1C" w14:textId="77777777" w:rsidR="00437A38" w:rsidRPr="004A2C36" w:rsidRDefault="00437A38" w:rsidP="00264A14"/>
        </w:tc>
        <w:tc>
          <w:tcPr>
            <w:tcW w:w="1842" w:type="dxa"/>
            <w:vMerge/>
          </w:tcPr>
          <w:p w14:paraId="62216B20" w14:textId="77777777" w:rsidR="00437A38" w:rsidRPr="004A2C36" w:rsidRDefault="00437A38" w:rsidP="00264A14"/>
        </w:tc>
        <w:tc>
          <w:tcPr>
            <w:tcW w:w="1843" w:type="dxa"/>
          </w:tcPr>
          <w:p w14:paraId="37178F2E" w14:textId="77777777" w:rsidR="00437A38" w:rsidRPr="004A2C36" w:rsidRDefault="00437A38" w:rsidP="00264A14">
            <w:r w:rsidRPr="004A2C36">
              <w:t>Zone 0</w:t>
            </w:r>
          </w:p>
          <w:p w14:paraId="1DDCA869" w14:textId="77777777" w:rsidR="00437A38" w:rsidRPr="004A2C36" w:rsidRDefault="00437A38" w:rsidP="00264A14">
            <w:r w:rsidRPr="004A2C36">
              <w:t>ständig, langzeitig oder häufig</w:t>
            </w:r>
            <w:r w:rsidRPr="004A2C36">
              <w:br/>
            </w:r>
          </w:p>
        </w:tc>
        <w:tc>
          <w:tcPr>
            <w:tcW w:w="1843" w:type="dxa"/>
          </w:tcPr>
          <w:p w14:paraId="35358FAC" w14:textId="77777777" w:rsidR="00437A38" w:rsidRPr="004A2C36" w:rsidRDefault="00437A38" w:rsidP="00264A14">
            <w:r w:rsidRPr="004A2C36">
              <w:t>Zone 1</w:t>
            </w:r>
          </w:p>
          <w:p w14:paraId="62D596EB" w14:textId="77777777" w:rsidR="00437A38" w:rsidRPr="004A2C36" w:rsidRDefault="00437A38" w:rsidP="00264A14">
            <w:r w:rsidRPr="004A2C36">
              <w:t>gelegentlich</w:t>
            </w:r>
          </w:p>
        </w:tc>
        <w:tc>
          <w:tcPr>
            <w:tcW w:w="1843" w:type="dxa"/>
          </w:tcPr>
          <w:p w14:paraId="370BA29E" w14:textId="77777777" w:rsidR="00437A38" w:rsidRPr="004A2C36" w:rsidRDefault="00437A38" w:rsidP="00264A14">
            <w:r w:rsidRPr="004A2C36">
              <w:t>Zone 2</w:t>
            </w:r>
          </w:p>
          <w:p w14:paraId="546A5ACB" w14:textId="77777777" w:rsidR="00437A38" w:rsidRPr="004A2C36" w:rsidRDefault="00437A38" w:rsidP="00264A14">
            <w:r w:rsidRPr="004A2C36">
              <w:t>selten und während eines kurzen Zeitraums</w:t>
            </w:r>
          </w:p>
        </w:tc>
      </w:tr>
      <w:tr w:rsidR="00437A38" w:rsidRPr="004A2C36" w14:paraId="352E4CEA" w14:textId="77777777" w:rsidTr="00150088">
        <w:trPr>
          <w:trHeight w:val="340"/>
        </w:trPr>
        <w:tc>
          <w:tcPr>
            <w:tcW w:w="2225" w:type="dxa"/>
            <w:vAlign w:val="center"/>
          </w:tcPr>
          <w:p w14:paraId="59005C2C" w14:textId="77777777" w:rsidR="00437A38" w:rsidRPr="004A2C36" w:rsidRDefault="00437A38" w:rsidP="00264A14">
            <w:r w:rsidRPr="004A2C36">
              <w:t>Raum</w:t>
            </w:r>
          </w:p>
        </w:tc>
        <w:tc>
          <w:tcPr>
            <w:tcW w:w="1842" w:type="dxa"/>
            <w:vAlign w:val="center"/>
          </w:tcPr>
          <w:p w14:paraId="7DDCD85A" w14:textId="0513EBF7" w:rsidR="00437A38" w:rsidRPr="004A2C36" w:rsidRDefault="00F92EBF" w:rsidP="00264A14">
            <w:pPr>
              <w:rPr>
                <w:b/>
              </w:rPr>
            </w:pPr>
            <w:sdt>
              <w:sdtPr>
                <w:rPr>
                  <w:rFonts w:eastAsia="MS Gothic"/>
                </w:rPr>
                <w:id w:val="1586576705"/>
                <w14:checkbox>
                  <w14:checked w14:val="1"/>
                  <w14:checkedState w14:val="2612" w14:font="MS Gothic"/>
                  <w14:uncheckedState w14:val="2610" w14:font="MS Gothic"/>
                </w14:checkbox>
              </w:sdtPr>
              <w:sdtEndPr/>
              <w:sdtContent>
                <w:r w:rsidR="00B13334">
                  <w:rPr>
                    <w:rFonts w:eastAsia="MS Gothic" w:hint="eastAsia"/>
                  </w:rPr>
                  <w:t>☒</w:t>
                </w:r>
              </w:sdtContent>
            </w:sdt>
          </w:p>
        </w:tc>
        <w:tc>
          <w:tcPr>
            <w:tcW w:w="1843" w:type="dxa"/>
            <w:vAlign w:val="center"/>
          </w:tcPr>
          <w:p w14:paraId="1C64E2C4" w14:textId="1DCA76B3" w:rsidR="00437A38" w:rsidRPr="004A2C36" w:rsidRDefault="00F92EBF" w:rsidP="00264A14">
            <w:sdt>
              <w:sdtPr>
                <w:rPr>
                  <w:rFonts w:eastAsia="MS Gothic"/>
                </w:rPr>
                <w:id w:val="-29949872"/>
                <w14:checkbox>
                  <w14:checked w14:val="0"/>
                  <w14:checkedState w14:val="2612" w14:font="MS Gothic"/>
                  <w14:uncheckedState w14:val="2610" w14:font="MS Gothic"/>
                </w14:checkbox>
              </w:sdtPr>
              <w:sdtEndPr/>
              <w:sdtContent>
                <w:r w:rsidR="00B13334" w:rsidRPr="00EA02FD">
                  <w:rPr>
                    <w:rFonts w:eastAsia="MS Gothic" w:hint="eastAsia"/>
                  </w:rPr>
                  <w:t>☐</w:t>
                </w:r>
              </w:sdtContent>
            </w:sdt>
          </w:p>
        </w:tc>
        <w:tc>
          <w:tcPr>
            <w:tcW w:w="1843" w:type="dxa"/>
            <w:vAlign w:val="center"/>
          </w:tcPr>
          <w:p w14:paraId="655C4C99" w14:textId="3E8A3917" w:rsidR="00437A38" w:rsidRPr="004A2C36" w:rsidRDefault="00F92EBF" w:rsidP="00264A14">
            <w:sdt>
              <w:sdtPr>
                <w:rPr>
                  <w:rFonts w:eastAsia="MS Gothic"/>
                </w:rPr>
                <w:id w:val="-788821210"/>
                <w14:checkbox>
                  <w14:checked w14:val="0"/>
                  <w14:checkedState w14:val="2612" w14:font="MS Gothic"/>
                  <w14:uncheckedState w14:val="2610" w14:font="MS Gothic"/>
                </w14:checkbox>
              </w:sdtPr>
              <w:sdtEndPr/>
              <w:sdtContent>
                <w:r w:rsidR="00B13334" w:rsidRPr="00EA02FD">
                  <w:rPr>
                    <w:rFonts w:eastAsia="MS Gothic" w:hint="eastAsia"/>
                  </w:rPr>
                  <w:t>☐</w:t>
                </w:r>
              </w:sdtContent>
            </w:sdt>
          </w:p>
        </w:tc>
        <w:tc>
          <w:tcPr>
            <w:tcW w:w="1843" w:type="dxa"/>
            <w:vAlign w:val="center"/>
          </w:tcPr>
          <w:p w14:paraId="20F369CB" w14:textId="723F42B6" w:rsidR="00437A38" w:rsidRPr="004A2C36" w:rsidRDefault="00F92EBF" w:rsidP="00264A14">
            <w:sdt>
              <w:sdtPr>
                <w:rPr>
                  <w:rFonts w:eastAsia="MS Gothic"/>
                </w:rPr>
                <w:id w:val="-1034039390"/>
                <w14:checkbox>
                  <w14:checked w14:val="0"/>
                  <w14:checkedState w14:val="2612" w14:font="MS Gothic"/>
                  <w14:uncheckedState w14:val="2610" w14:font="MS Gothic"/>
                </w14:checkbox>
              </w:sdtPr>
              <w:sdtEndPr/>
              <w:sdtContent>
                <w:r w:rsidR="00B13334" w:rsidRPr="00EA02FD">
                  <w:rPr>
                    <w:rFonts w:eastAsia="MS Gothic" w:hint="eastAsia"/>
                  </w:rPr>
                  <w:t>☐</w:t>
                </w:r>
              </w:sdtContent>
            </w:sdt>
          </w:p>
        </w:tc>
      </w:tr>
      <w:tr w:rsidR="00437A38" w:rsidRPr="004A2C36" w14:paraId="17CCF39A" w14:textId="77777777" w:rsidTr="00150088">
        <w:trPr>
          <w:trHeight w:val="340"/>
        </w:trPr>
        <w:tc>
          <w:tcPr>
            <w:tcW w:w="2225" w:type="dxa"/>
            <w:vAlign w:val="center"/>
          </w:tcPr>
          <w:p w14:paraId="4C498160" w14:textId="68120709" w:rsidR="00437A38" w:rsidRPr="004A2C36" w:rsidRDefault="00437A38" w:rsidP="00264A14">
            <w:pPr>
              <w:rPr>
                <w:rFonts w:cs="Arial-BoldMT"/>
                <w:bCs/>
                <w:lang w:val="de-AT" w:eastAsia="de-AT"/>
              </w:rPr>
            </w:pPr>
            <w:r w:rsidRPr="004A2C36">
              <w:t>Nahbereich der Batterie</w:t>
            </w:r>
            <w:r w:rsidR="00FA477B">
              <w:t xml:space="preserve"> 0,5</w:t>
            </w:r>
            <w:r w:rsidR="00C20147">
              <w:t xml:space="preserve"> </w:t>
            </w:r>
            <w:r w:rsidR="00FA477B">
              <w:t>m</w:t>
            </w:r>
          </w:p>
        </w:tc>
        <w:tc>
          <w:tcPr>
            <w:tcW w:w="1842" w:type="dxa"/>
            <w:vAlign w:val="center"/>
          </w:tcPr>
          <w:p w14:paraId="3AF52DF2" w14:textId="7A3B770E" w:rsidR="00437A38" w:rsidRPr="004A2C36" w:rsidRDefault="00F92EBF" w:rsidP="00264A14">
            <w:pPr>
              <w:rPr>
                <w:rFonts w:cs="Arial-BoldMT"/>
                <w:b/>
                <w:bCs/>
                <w:lang w:val="de-AT" w:eastAsia="de-AT"/>
              </w:rPr>
            </w:pPr>
            <w:sdt>
              <w:sdtPr>
                <w:rPr>
                  <w:rFonts w:eastAsia="MS Gothic"/>
                </w:rPr>
                <w:id w:val="657590069"/>
                <w14:checkbox>
                  <w14:checked w14:val="1"/>
                  <w14:checkedState w14:val="2612" w14:font="MS Gothic"/>
                  <w14:uncheckedState w14:val="2610" w14:font="MS Gothic"/>
                </w14:checkbox>
              </w:sdtPr>
              <w:sdtEndPr/>
              <w:sdtContent>
                <w:r w:rsidR="00B13334">
                  <w:rPr>
                    <w:rFonts w:eastAsia="MS Gothic" w:hint="eastAsia"/>
                  </w:rPr>
                  <w:t>☒</w:t>
                </w:r>
              </w:sdtContent>
            </w:sdt>
          </w:p>
        </w:tc>
        <w:tc>
          <w:tcPr>
            <w:tcW w:w="1843" w:type="dxa"/>
            <w:vAlign w:val="center"/>
          </w:tcPr>
          <w:p w14:paraId="6AF0703B" w14:textId="77777777" w:rsidR="00437A38" w:rsidRPr="004A2C36" w:rsidRDefault="00437A38" w:rsidP="00264A14"/>
        </w:tc>
        <w:tc>
          <w:tcPr>
            <w:tcW w:w="1843" w:type="dxa"/>
            <w:vAlign w:val="center"/>
          </w:tcPr>
          <w:p w14:paraId="250E870A" w14:textId="09A16657" w:rsidR="00437A38" w:rsidRPr="004A2C36" w:rsidRDefault="00F92EBF" w:rsidP="00264A14">
            <w:sdt>
              <w:sdtPr>
                <w:rPr>
                  <w:rFonts w:eastAsia="MS Gothic"/>
                </w:rPr>
                <w:id w:val="1267580160"/>
                <w14:checkbox>
                  <w14:checked w14:val="0"/>
                  <w14:checkedState w14:val="2612" w14:font="MS Gothic"/>
                  <w14:uncheckedState w14:val="2610" w14:font="MS Gothic"/>
                </w14:checkbox>
              </w:sdtPr>
              <w:sdtEndPr/>
              <w:sdtContent>
                <w:r w:rsidR="00B13334" w:rsidRPr="00EA02FD">
                  <w:rPr>
                    <w:rFonts w:eastAsia="MS Gothic" w:hint="eastAsia"/>
                  </w:rPr>
                  <w:t>☐</w:t>
                </w:r>
              </w:sdtContent>
            </w:sdt>
          </w:p>
        </w:tc>
        <w:tc>
          <w:tcPr>
            <w:tcW w:w="1843" w:type="dxa"/>
            <w:vAlign w:val="center"/>
          </w:tcPr>
          <w:p w14:paraId="395F4AFF" w14:textId="77777777" w:rsidR="00437A38" w:rsidRPr="004A2C36" w:rsidRDefault="00437A38" w:rsidP="00264A14"/>
        </w:tc>
      </w:tr>
      <w:tr w:rsidR="00437A38" w:rsidRPr="004A2C36" w14:paraId="15E93507" w14:textId="77777777" w:rsidTr="00150088">
        <w:trPr>
          <w:trHeight w:val="340"/>
        </w:trPr>
        <w:tc>
          <w:tcPr>
            <w:tcW w:w="9596" w:type="dxa"/>
            <w:gridSpan w:val="5"/>
            <w:vAlign w:val="center"/>
          </w:tcPr>
          <w:p w14:paraId="2CAA220E" w14:textId="77777777" w:rsidR="00437A38" w:rsidRPr="004A2C36" w:rsidRDefault="00437A38" w:rsidP="00264A14"/>
        </w:tc>
      </w:tr>
    </w:tbl>
    <w:p w14:paraId="64E52834" w14:textId="101DB47E" w:rsidR="002F5B06" w:rsidRDefault="002F5B06" w:rsidP="00264A14"/>
    <w:p w14:paraId="5EA200F7" w14:textId="62A63479" w:rsidR="00684173" w:rsidRPr="004A2C36" w:rsidRDefault="00684173" w:rsidP="00264A14">
      <w:pPr>
        <w:pStyle w:val="berschrift1"/>
      </w:pPr>
      <w:bookmarkStart w:id="60" w:name="_Toc54433091"/>
      <w:bookmarkStart w:id="61" w:name="_Toc54440158"/>
      <w:bookmarkStart w:id="62" w:name="_Toc54595576"/>
      <w:r>
        <w:t>Sekundärer Explosionsschutz</w:t>
      </w:r>
      <w:bookmarkEnd w:id="60"/>
      <w:bookmarkEnd w:id="61"/>
      <w:bookmarkEnd w:id="62"/>
    </w:p>
    <w:tbl>
      <w:tblPr>
        <w:tblW w:w="95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8"/>
        <w:gridCol w:w="3185"/>
        <w:gridCol w:w="4678"/>
      </w:tblGrid>
      <w:tr w:rsidR="004A2C36" w:rsidRPr="004A2C36" w14:paraId="3479EC53" w14:textId="77777777" w:rsidTr="00D16396">
        <w:trPr>
          <w:cantSplit/>
          <w:trHeight w:val="374"/>
        </w:trPr>
        <w:tc>
          <w:tcPr>
            <w:tcW w:w="9521"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C025E1" w14:textId="52A67BA7" w:rsidR="004A2C36" w:rsidRPr="004A2C36" w:rsidRDefault="004A2C36" w:rsidP="00264A14">
            <w:pPr>
              <w:pStyle w:val="berschrift2"/>
            </w:pPr>
            <w:bookmarkStart w:id="63" w:name="_Toc54433092"/>
            <w:bookmarkStart w:id="64" w:name="_Toc54440159"/>
            <w:bookmarkStart w:id="65" w:name="_Toc54595577"/>
            <w:r w:rsidRPr="004A2C36">
              <w:t>Verhinderung von Zündquellen i</w:t>
            </w:r>
            <w:r w:rsidR="007B41D1">
              <w:t>m Nahbereich der Batterie</w:t>
            </w:r>
            <w:bookmarkEnd w:id="63"/>
            <w:bookmarkEnd w:id="64"/>
            <w:bookmarkEnd w:id="65"/>
          </w:p>
        </w:tc>
      </w:tr>
      <w:tr w:rsidR="004A2C36" w:rsidRPr="004A2C36" w14:paraId="7E42FD8C" w14:textId="77777777" w:rsidTr="00D16396">
        <w:trPr>
          <w:cantSplit/>
        </w:trPr>
        <w:tc>
          <w:tcPr>
            <w:tcW w:w="9521" w:type="dxa"/>
            <w:gridSpan w:val="3"/>
            <w:tcBorders>
              <w:top w:val="single" w:sz="4" w:space="0" w:color="auto"/>
              <w:left w:val="single" w:sz="4" w:space="0" w:color="auto"/>
              <w:bottom w:val="single" w:sz="4" w:space="0" w:color="auto"/>
              <w:right w:val="single" w:sz="4" w:space="0" w:color="auto"/>
            </w:tcBorders>
            <w:vAlign w:val="center"/>
          </w:tcPr>
          <w:p w14:paraId="2B2C6572" w14:textId="77777777" w:rsidR="004A2C36" w:rsidRDefault="004A2C36" w:rsidP="00264A14">
            <w:pPr>
              <w:pStyle w:val="Nachrichtenkopf"/>
            </w:pPr>
            <w:r w:rsidRPr="004A2C36">
              <w:t>Ausführung der elektrischen und nichtelektrischen</w:t>
            </w:r>
            <w:r w:rsidRPr="004A2C36">
              <w:rPr>
                <w:i/>
              </w:rPr>
              <w:t xml:space="preserve"> </w:t>
            </w:r>
            <w:r w:rsidRPr="004A2C36">
              <w:t>Betriebsmittel gem. VEXAT</w:t>
            </w:r>
          </w:p>
          <w:p w14:paraId="446BFFD9" w14:textId="544C1B3D" w:rsidR="007B41D1" w:rsidRPr="004A2C36" w:rsidRDefault="007B41D1" w:rsidP="00264A14">
            <w:pPr>
              <w:pStyle w:val="Nachrichtenkopf"/>
            </w:pPr>
            <w:r w:rsidRPr="001F5745">
              <w:t xml:space="preserve">Prüfen </w:t>
            </w:r>
            <w:r w:rsidR="001F5745" w:rsidRPr="001F5745">
              <w:t>Sie unbedingt vorher, ob im Nahbereich der Batterie (Sicherheitsabstand d</w:t>
            </w:r>
            <w:r w:rsidR="006E71DD">
              <w:t xml:space="preserve"> = 0,5</w:t>
            </w:r>
            <w:r w:rsidR="00845F99">
              <w:t xml:space="preserve"> </w:t>
            </w:r>
            <w:r w:rsidR="006E71DD">
              <w:t>m</w:t>
            </w:r>
            <w:r w:rsidR="001F5745" w:rsidRPr="001F5745">
              <w:t>) die Installation eines Gerätes notwendig ist!</w:t>
            </w:r>
          </w:p>
        </w:tc>
      </w:tr>
      <w:tr w:rsidR="004A2C36" w:rsidRPr="004A2C36" w14:paraId="57EFE496" w14:textId="77777777" w:rsidTr="00D16396">
        <w:trPr>
          <w:cantSplit/>
          <w:trHeight w:val="559"/>
        </w:trPr>
        <w:tc>
          <w:tcPr>
            <w:tcW w:w="1658" w:type="dxa"/>
            <w:tcBorders>
              <w:top w:val="single" w:sz="4" w:space="0" w:color="auto"/>
              <w:left w:val="single" w:sz="4" w:space="0" w:color="auto"/>
              <w:bottom w:val="single" w:sz="4" w:space="0" w:color="auto"/>
              <w:right w:val="single" w:sz="4" w:space="0" w:color="auto"/>
            </w:tcBorders>
            <w:vAlign w:val="center"/>
          </w:tcPr>
          <w:p w14:paraId="6B05DC44" w14:textId="77777777" w:rsidR="004A2C36" w:rsidRPr="004A2C36" w:rsidRDefault="00276CED" w:rsidP="00264A14">
            <w:pPr>
              <w:pStyle w:val="Nachrichtenkopf"/>
            </w:pPr>
            <w:r w:rsidRPr="004A2C36">
              <w:rPr>
                <w:noProof/>
                <w:lang w:val="de-AT" w:eastAsia="de-AT"/>
              </w:rPr>
              <w:drawing>
                <wp:inline distT="0" distB="0" distL="0" distR="0" wp14:anchorId="30C6F240" wp14:editId="797AE15F">
                  <wp:extent cx="403860" cy="344170"/>
                  <wp:effectExtent l="0" t="0" r="0" b="0"/>
                  <wp:docPr id="52" name="Picture 6" descr="Ex-Zeichen" title="Symbol für Explosionssch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Zeich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860" cy="344170"/>
                          </a:xfrm>
                          <a:prstGeom prst="rect">
                            <a:avLst/>
                          </a:prstGeom>
                          <a:noFill/>
                          <a:ln>
                            <a:noFill/>
                          </a:ln>
                        </pic:spPr>
                      </pic:pic>
                    </a:graphicData>
                  </a:graphic>
                </wp:inline>
              </w:drawing>
            </w:r>
            <w:r w:rsidR="004A2C36" w:rsidRPr="004A2C36">
              <w:t>II 2 G</w:t>
            </w:r>
          </w:p>
        </w:tc>
        <w:tc>
          <w:tcPr>
            <w:tcW w:w="3185" w:type="dxa"/>
            <w:tcBorders>
              <w:top w:val="single" w:sz="4" w:space="0" w:color="auto"/>
              <w:left w:val="single" w:sz="4" w:space="0" w:color="auto"/>
              <w:bottom w:val="single" w:sz="4" w:space="0" w:color="auto"/>
              <w:right w:val="single" w:sz="4" w:space="0" w:color="auto"/>
            </w:tcBorders>
            <w:vAlign w:val="center"/>
          </w:tcPr>
          <w:p w14:paraId="5AE01902" w14:textId="77777777" w:rsidR="004A2C36" w:rsidRPr="004A2C36" w:rsidRDefault="004A2C36" w:rsidP="00264A14">
            <w:pPr>
              <w:pStyle w:val="Nachrichtenkopf"/>
            </w:pPr>
            <w:r w:rsidRPr="004A2C36">
              <w:t>Explosionsgruppe: IIC</w:t>
            </w:r>
          </w:p>
        </w:tc>
        <w:tc>
          <w:tcPr>
            <w:tcW w:w="4678" w:type="dxa"/>
            <w:tcBorders>
              <w:top w:val="single" w:sz="4" w:space="0" w:color="auto"/>
              <w:left w:val="single" w:sz="4" w:space="0" w:color="auto"/>
              <w:bottom w:val="single" w:sz="4" w:space="0" w:color="auto"/>
              <w:right w:val="single" w:sz="4" w:space="0" w:color="auto"/>
            </w:tcBorders>
            <w:vAlign w:val="center"/>
          </w:tcPr>
          <w:p w14:paraId="622C48C0" w14:textId="73476FD0" w:rsidR="004A2C36" w:rsidRPr="004A2C36" w:rsidRDefault="004A2C36" w:rsidP="00264A14">
            <w:pPr>
              <w:pStyle w:val="Nachrichtenkopf"/>
            </w:pPr>
            <w:r w:rsidRPr="004A2C36">
              <w:t>Temperaturklasse: T</w:t>
            </w:r>
            <w:r w:rsidR="00437A38">
              <w:t>1</w:t>
            </w:r>
            <w:r w:rsidRPr="004A2C36">
              <w:t xml:space="preserve"> </w:t>
            </w:r>
          </w:p>
        </w:tc>
      </w:tr>
    </w:tbl>
    <w:p w14:paraId="29212B7B" w14:textId="77777777" w:rsidR="004A2C36" w:rsidRPr="004A2C36" w:rsidRDefault="004A2C36" w:rsidP="00264A14">
      <w:r w:rsidRPr="004A2C36">
        <w:t xml:space="preserve">Tatsächliche Arbeitsmittel im </w:t>
      </w:r>
      <w:r w:rsidR="00C2304B">
        <w:t>Nahbereich der Batterie</w:t>
      </w:r>
      <w:r w:rsidRPr="004A2C36">
        <w:t>?</w:t>
      </w:r>
    </w:p>
    <w:tbl>
      <w:tblPr>
        <w:tblW w:w="9498" w:type="dxa"/>
        <w:tblInd w:w="-5" w:type="dxa"/>
        <w:tblCellMar>
          <w:left w:w="70" w:type="dxa"/>
          <w:right w:w="70" w:type="dxa"/>
        </w:tblCellMar>
        <w:tblLook w:val="0000" w:firstRow="0" w:lastRow="0" w:firstColumn="0" w:lastColumn="0" w:noHBand="0" w:noVBand="0"/>
      </w:tblPr>
      <w:tblGrid>
        <w:gridCol w:w="873"/>
        <w:gridCol w:w="1897"/>
        <w:gridCol w:w="2038"/>
        <w:gridCol w:w="2742"/>
        <w:gridCol w:w="1948"/>
      </w:tblGrid>
      <w:tr w:rsidR="00D16396" w:rsidRPr="004A2C36" w14:paraId="73F84920" w14:textId="77777777" w:rsidTr="00D16396">
        <w:trPr>
          <w:trHeight w:val="300"/>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DD11E" w14:textId="77777777" w:rsidR="00D16396" w:rsidRPr="004A2C36" w:rsidRDefault="00D16396" w:rsidP="00264A14">
            <w:r w:rsidRPr="004A2C36">
              <w:t>Pos:</w:t>
            </w:r>
          </w:p>
        </w:tc>
        <w:tc>
          <w:tcPr>
            <w:tcW w:w="1897" w:type="dxa"/>
            <w:tcBorders>
              <w:top w:val="single" w:sz="4" w:space="0" w:color="auto"/>
              <w:left w:val="nil"/>
              <w:bottom w:val="single" w:sz="4" w:space="0" w:color="auto"/>
              <w:right w:val="single" w:sz="4" w:space="0" w:color="auto"/>
            </w:tcBorders>
            <w:shd w:val="clear" w:color="auto" w:fill="auto"/>
            <w:noWrap/>
            <w:vAlign w:val="bottom"/>
          </w:tcPr>
          <w:p w14:paraId="739C5804" w14:textId="77777777" w:rsidR="00D16396" w:rsidRPr="004A2C36" w:rsidRDefault="00D16396" w:rsidP="00264A14"/>
        </w:tc>
        <w:tc>
          <w:tcPr>
            <w:tcW w:w="2038" w:type="dxa"/>
            <w:tcBorders>
              <w:top w:val="single" w:sz="4" w:space="0" w:color="auto"/>
              <w:left w:val="nil"/>
              <w:bottom w:val="single" w:sz="4" w:space="0" w:color="auto"/>
              <w:right w:val="single" w:sz="4" w:space="0" w:color="auto"/>
            </w:tcBorders>
            <w:shd w:val="clear" w:color="auto" w:fill="auto"/>
            <w:noWrap/>
            <w:vAlign w:val="bottom"/>
          </w:tcPr>
          <w:p w14:paraId="4FE995DA" w14:textId="77777777" w:rsidR="00D16396" w:rsidRPr="004A2C36" w:rsidRDefault="00D16396" w:rsidP="00264A14">
            <w:r w:rsidRPr="004A2C36">
              <w:t>Bezeichnung</w:t>
            </w:r>
          </w:p>
        </w:tc>
        <w:tc>
          <w:tcPr>
            <w:tcW w:w="2742" w:type="dxa"/>
            <w:tcBorders>
              <w:top w:val="single" w:sz="4" w:space="0" w:color="auto"/>
              <w:left w:val="nil"/>
              <w:bottom w:val="single" w:sz="4" w:space="0" w:color="auto"/>
              <w:right w:val="single" w:sz="4" w:space="0" w:color="auto"/>
            </w:tcBorders>
            <w:shd w:val="clear" w:color="auto" w:fill="auto"/>
            <w:noWrap/>
            <w:vAlign w:val="bottom"/>
          </w:tcPr>
          <w:p w14:paraId="4F26A489" w14:textId="77777777" w:rsidR="00D16396" w:rsidRPr="004A2C36" w:rsidRDefault="00D16396" w:rsidP="00264A14">
            <w:r w:rsidRPr="004A2C36">
              <w:t>Kennzeichnung</w:t>
            </w:r>
          </w:p>
        </w:tc>
        <w:tc>
          <w:tcPr>
            <w:tcW w:w="1948" w:type="dxa"/>
            <w:tcBorders>
              <w:top w:val="single" w:sz="4" w:space="0" w:color="auto"/>
              <w:left w:val="nil"/>
              <w:bottom w:val="single" w:sz="4" w:space="0" w:color="auto"/>
              <w:right w:val="single" w:sz="4" w:space="0" w:color="auto"/>
            </w:tcBorders>
            <w:shd w:val="clear" w:color="auto" w:fill="auto"/>
            <w:noWrap/>
            <w:vAlign w:val="bottom"/>
          </w:tcPr>
          <w:p w14:paraId="1882FB88" w14:textId="77777777" w:rsidR="00D16396" w:rsidRPr="004A2C36" w:rsidRDefault="00D16396" w:rsidP="00264A14">
            <w:r w:rsidRPr="004A2C36">
              <w:t>geprüft</w:t>
            </w:r>
          </w:p>
        </w:tc>
      </w:tr>
      <w:tr w:rsidR="00D16396" w:rsidRPr="004A2C36" w14:paraId="3A4FDFA1" w14:textId="77777777" w:rsidTr="00D16396">
        <w:trPr>
          <w:trHeight w:val="300"/>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A3DB9" w14:textId="77777777" w:rsidR="00D16396" w:rsidRPr="004A2C36" w:rsidRDefault="00D16396" w:rsidP="00264A14">
            <w:pPr>
              <w:rPr>
                <w:lang w:val="de-AT" w:eastAsia="de-AT"/>
              </w:rPr>
            </w:pPr>
            <w:r w:rsidRPr="004A2C36">
              <w:rPr>
                <w:lang w:val="de-AT" w:eastAsia="de-AT"/>
              </w:rPr>
              <w:t>----</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EA7AA" w14:textId="77777777" w:rsidR="00D16396" w:rsidRPr="004A2C36" w:rsidRDefault="00D16396" w:rsidP="00264A14"/>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30D36" w14:textId="77777777" w:rsidR="00D16396" w:rsidRPr="004A2C36" w:rsidRDefault="00D16396" w:rsidP="00264A14">
            <w:pPr>
              <w:rPr>
                <w:lang w:val="de-AT" w:eastAsia="de-AT"/>
              </w:rPr>
            </w:pPr>
          </w:p>
        </w:tc>
        <w:tc>
          <w:tcPr>
            <w:tcW w:w="2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E8C0A" w14:textId="77777777" w:rsidR="00D16396" w:rsidRPr="004A2C36" w:rsidRDefault="00D16396" w:rsidP="00264A14">
            <w:pPr>
              <w:rPr>
                <w:lang w:val="it-IT" w:eastAsia="de-AT"/>
              </w:rPr>
            </w:pP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F10AF" w14:textId="77777777" w:rsidR="00D16396" w:rsidRPr="004A2C36" w:rsidRDefault="00D16396" w:rsidP="00264A14">
            <w:pPr>
              <w:rPr>
                <w:lang w:val="de-AT" w:eastAsia="de-AT"/>
              </w:rPr>
            </w:pPr>
          </w:p>
        </w:tc>
      </w:tr>
      <w:tr w:rsidR="00D16396" w:rsidRPr="004A2C36" w14:paraId="41139740" w14:textId="77777777" w:rsidTr="00D16396">
        <w:trPr>
          <w:trHeight w:val="300"/>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301C0" w14:textId="77777777" w:rsidR="00D16396" w:rsidRPr="004A2C36" w:rsidRDefault="00D16396" w:rsidP="00264A14">
            <w:pPr>
              <w:rPr>
                <w:lang w:val="de-AT" w:eastAsia="de-AT"/>
              </w:rPr>
            </w:pPr>
            <w:r w:rsidRPr="004A2C36">
              <w:rPr>
                <w:lang w:val="de-AT" w:eastAsia="de-AT"/>
              </w:rPr>
              <w:t>----</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6E98F" w14:textId="77777777" w:rsidR="00D16396" w:rsidRPr="004A2C36" w:rsidRDefault="00D16396" w:rsidP="00264A14"/>
        </w:tc>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ADF61" w14:textId="77777777" w:rsidR="00D16396" w:rsidRPr="004A2C36" w:rsidRDefault="00D16396" w:rsidP="00264A14">
            <w:pPr>
              <w:rPr>
                <w:lang w:val="de-AT" w:eastAsia="de-AT"/>
              </w:rPr>
            </w:pPr>
          </w:p>
        </w:tc>
        <w:tc>
          <w:tcPr>
            <w:tcW w:w="27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84A34" w14:textId="77777777" w:rsidR="00D16396" w:rsidRPr="004A2C36" w:rsidRDefault="00D16396" w:rsidP="00264A14">
            <w:pPr>
              <w:rPr>
                <w:lang w:val="it-IT" w:eastAsia="de-AT"/>
              </w:rPr>
            </w:pP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38F0C" w14:textId="77777777" w:rsidR="00D16396" w:rsidRPr="004A2C36" w:rsidRDefault="00D16396" w:rsidP="00264A14">
            <w:pPr>
              <w:rPr>
                <w:lang w:val="de-AT" w:eastAsia="de-AT"/>
              </w:rPr>
            </w:pPr>
          </w:p>
        </w:tc>
      </w:tr>
    </w:tbl>
    <w:p w14:paraId="279E4E90" w14:textId="58D47B3D" w:rsidR="004A2C36" w:rsidRDefault="004A2C36" w:rsidP="00264A14"/>
    <w:p w14:paraId="6A88C26D" w14:textId="423FE47E" w:rsidR="00D752D2" w:rsidRPr="004A2C36" w:rsidRDefault="00D752D2" w:rsidP="00264A14">
      <w:pPr>
        <w:pStyle w:val="berschrift2"/>
      </w:pPr>
      <w:bookmarkStart w:id="66" w:name="_Toc54433093"/>
      <w:bookmarkStart w:id="67" w:name="_Toc54440160"/>
      <w:bookmarkStart w:id="68" w:name="_Toc54595578"/>
      <w:r>
        <w:t>Ausschluss eingebrachter Zündquellen</w:t>
      </w:r>
      <w:bookmarkEnd w:id="66"/>
      <w:bookmarkEnd w:id="67"/>
      <w:bookmarkEnd w:id="68"/>
    </w:p>
    <w:tbl>
      <w:tblPr>
        <w:tblW w:w="95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7"/>
        <w:gridCol w:w="5603"/>
        <w:gridCol w:w="1201"/>
      </w:tblGrid>
      <w:tr w:rsidR="004A2C36" w:rsidRPr="004A2C36" w14:paraId="3A4F3165" w14:textId="77777777" w:rsidTr="00D16396">
        <w:trPr>
          <w:cantSplit/>
        </w:trPr>
        <w:tc>
          <w:tcPr>
            <w:tcW w:w="2717" w:type="dxa"/>
            <w:tcBorders>
              <w:top w:val="single" w:sz="4" w:space="0" w:color="auto"/>
              <w:left w:val="single" w:sz="4" w:space="0" w:color="auto"/>
              <w:bottom w:val="single" w:sz="4" w:space="0" w:color="auto"/>
              <w:right w:val="single" w:sz="4" w:space="0" w:color="auto"/>
            </w:tcBorders>
            <w:vAlign w:val="center"/>
          </w:tcPr>
          <w:p w14:paraId="7F38BBC2" w14:textId="77777777" w:rsidR="004A2C36" w:rsidRPr="004A2C36" w:rsidRDefault="004A2C36" w:rsidP="00264A14">
            <w:pPr>
              <w:pStyle w:val="Nachrichtenkopf"/>
            </w:pPr>
            <w:r w:rsidRPr="004A2C36">
              <w:t>Mechanisch erzeugte Funken:</w:t>
            </w:r>
          </w:p>
        </w:tc>
        <w:tc>
          <w:tcPr>
            <w:tcW w:w="5603" w:type="dxa"/>
            <w:tcBorders>
              <w:top w:val="single" w:sz="4" w:space="0" w:color="auto"/>
              <w:left w:val="single" w:sz="4" w:space="0" w:color="auto"/>
              <w:bottom w:val="single" w:sz="4" w:space="0" w:color="auto"/>
              <w:right w:val="single" w:sz="4" w:space="0" w:color="auto"/>
            </w:tcBorders>
            <w:vAlign w:val="center"/>
          </w:tcPr>
          <w:p w14:paraId="3E87EC53" w14:textId="77777777" w:rsidR="004A2C36" w:rsidRPr="004A2C36" w:rsidRDefault="004A2C36" w:rsidP="00264A14">
            <w:pPr>
              <w:pStyle w:val="Nachrichtenkopf"/>
            </w:pPr>
            <w:r w:rsidRPr="004A2C36">
              <w:t>Verbot von funkenziehendem Handwerkszeug.</w:t>
            </w:r>
          </w:p>
        </w:tc>
        <w:tc>
          <w:tcPr>
            <w:tcW w:w="1201" w:type="dxa"/>
            <w:tcBorders>
              <w:top w:val="single" w:sz="4" w:space="0" w:color="auto"/>
              <w:left w:val="single" w:sz="4" w:space="0" w:color="auto"/>
              <w:bottom w:val="single" w:sz="4" w:space="0" w:color="auto"/>
              <w:right w:val="single" w:sz="4" w:space="0" w:color="auto"/>
            </w:tcBorders>
            <w:vAlign w:val="center"/>
          </w:tcPr>
          <w:p w14:paraId="7F8206E3" w14:textId="44CEE71A" w:rsidR="004A2C36" w:rsidRPr="004A2C36" w:rsidRDefault="00F92EBF" w:rsidP="00264A14">
            <w:pPr>
              <w:pStyle w:val="Nachrichtenkopf"/>
              <w:rPr>
                <w:b/>
                <w:bCs/>
                <w:iCs/>
              </w:rPr>
            </w:pPr>
            <w:sdt>
              <w:sdtPr>
                <w:rPr>
                  <w:rFonts w:eastAsia="MS Gothic"/>
                </w:rPr>
                <w:id w:val="-1392271253"/>
                <w14:checkbox>
                  <w14:checked w14:val="0"/>
                  <w14:checkedState w14:val="2612" w14:font="MS Gothic"/>
                  <w14:uncheckedState w14:val="2610" w14:font="MS Gothic"/>
                </w14:checkbox>
              </w:sdtPr>
              <w:sdtEndPr/>
              <w:sdtContent>
                <w:r w:rsidR="00B13334" w:rsidRPr="00EA02FD">
                  <w:rPr>
                    <w:rFonts w:eastAsia="MS Gothic" w:hint="eastAsia"/>
                  </w:rPr>
                  <w:t>☐</w:t>
                </w:r>
              </w:sdtContent>
            </w:sdt>
          </w:p>
        </w:tc>
      </w:tr>
      <w:tr w:rsidR="004A2C36" w:rsidRPr="004A2C36" w14:paraId="45B11F0D" w14:textId="77777777" w:rsidTr="00D16396">
        <w:trPr>
          <w:cantSplit/>
        </w:trPr>
        <w:tc>
          <w:tcPr>
            <w:tcW w:w="2717" w:type="dxa"/>
            <w:tcBorders>
              <w:top w:val="single" w:sz="4" w:space="0" w:color="auto"/>
              <w:left w:val="single" w:sz="4" w:space="0" w:color="auto"/>
              <w:bottom w:val="single" w:sz="4" w:space="0" w:color="auto"/>
              <w:right w:val="single" w:sz="4" w:space="0" w:color="auto"/>
            </w:tcBorders>
            <w:vAlign w:val="center"/>
          </w:tcPr>
          <w:p w14:paraId="0B26BE25" w14:textId="77777777" w:rsidR="004A2C36" w:rsidRPr="004A2C36" w:rsidRDefault="004A2C36" w:rsidP="00264A14">
            <w:pPr>
              <w:pStyle w:val="Nachrichtenkopf"/>
            </w:pPr>
            <w:r w:rsidRPr="004A2C36">
              <w:t>Statische Elektrizität:</w:t>
            </w:r>
          </w:p>
        </w:tc>
        <w:tc>
          <w:tcPr>
            <w:tcW w:w="5603" w:type="dxa"/>
            <w:tcBorders>
              <w:top w:val="single" w:sz="4" w:space="0" w:color="auto"/>
              <w:left w:val="single" w:sz="4" w:space="0" w:color="auto"/>
              <w:bottom w:val="single" w:sz="4" w:space="0" w:color="auto"/>
              <w:right w:val="single" w:sz="4" w:space="0" w:color="auto"/>
            </w:tcBorders>
            <w:vAlign w:val="center"/>
          </w:tcPr>
          <w:p w14:paraId="68594BBC" w14:textId="77777777" w:rsidR="004A2C36" w:rsidRPr="004A2C36" w:rsidRDefault="004A2C36" w:rsidP="00004185">
            <w:pPr>
              <w:pStyle w:val="Nachrichtenkopf"/>
              <w:numPr>
                <w:ilvl w:val="0"/>
                <w:numId w:val="2"/>
              </w:numPr>
            </w:pPr>
            <w:r w:rsidRPr="004A2C36">
              <w:t>Prüfung des Bodenbelages</w:t>
            </w:r>
            <w:r w:rsidR="00D46181">
              <w:t xml:space="preserve"> (bei großen zugänglichen Batterieanlagen)</w:t>
            </w:r>
          </w:p>
          <w:p w14:paraId="44BB5146" w14:textId="77777777" w:rsidR="004A2C36" w:rsidRPr="004A2C36" w:rsidRDefault="004A2C36" w:rsidP="00004185">
            <w:pPr>
              <w:pStyle w:val="Nachrichtenkopf"/>
              <w:numPr>
                <w:ilvl w:val="0"/>
                <w:numId w:val="2"/>
              </w:numPr>
            </w:pPr>
            <w:r w:rsidRPr="004A2C36">
              <w:t>Ableitfähiges Schuhwerk</w:t>
            </w:r>
          </w:p>
          <w:p w14:paraId="6129CC6F" w14:textId="77777777" w:rsidR="004A2C36" w:rsidRPr="004A2C36" w:rsidRDefault="004A2C36" w:rsidP="00004185">
            <w:pPr>
              <w:pStyle w:val="Nachrichtenkopf"/>
              <w:numPr>
                <w:ilvl w:val="0"/>
                <w:numId w:val="2"/>
              </w:numPr>
            </w:pPr>
            <w:r w:rsidRPr="004A2C36">
              <w:t>Kein Kleidungswechsel im Nahbereich</w:t>
            </w:r>
          </w:p>
          <w:p w14:paraId="1B94AEA5" w14:textId="77777777" w:rsidR="004A2C36" w:rsidRPr="004A2C36" w:rsidRDefault="004A2C36" w:rsidP="00004185">
            <w:pPr>
              <w:pStyle w:val="Nachrichtenkopf"/>
              <w:numPr>
                <w:ilvl w:val="0"/>
                <w:numId w:val="2"/>
              </w:numPr>
              <w:rPr>
                <w:rFonts w:cs="ArialMT"/>
                <w:sz w:val="20"/>
                <w:lang w:val="de-AT" w:eastAsia="de-AT"/>
              </w:rPr>
            </w:pPr>
            <w:r w:rsidRPr="004A2C36">
              <w:t>Saugfähige Tücher für die Batteriereinigung müssen antistatisch sein und dürfen nur mit Wasser ohne Verwendung von Reinigungsmitteln angefeuchtet werden.</w:t>
            </w:r>
          </w:p>
        </w:tc>
        <w:tc>
          <w:tcPr>
            <w:tcW w:w="1201" w:type="dxa"/>
            <w:tcBorders>
              <w:top w:val="single" w:sz="4" w:space="0" w:color="auto"/>
              <w:left w:val="single" w:sz="4" w:space="0" w:color="auto"/>
              <w:bottom w:val="single" w:sz="4" w:space="0" w:color="auto"/>
              <w:right w:val="single" w:sz="4" w:space="0" w:color="auto"/>
            </w:tcBorders>
            <w:vAlign w:val="center"/>
          </w:tcPr>
          <w:p w14:paraId="31FCAE22" w14:textId="08D5A3E1" w:rsidR="004A2C36" w:rsidRPr="004A2C36" w:rsidRDefault="00F92EBF" w:rsidP="00264A14">
            <w:sdt>
              <w:sdtPr>
                <w:rPr>
                  <w:rFonts w:eastAsia="MS Gothic"/>
                </w:rPr>
                <w:id w:val="1297480593"/>
                <w14:checkbox>
                  <w14:checked w14:val="0"/>
                  <w14:checkedState w14:val="2612" w14:font="MS Gothic"/>
                  <w14:uncheckedState w14:val="2610" w14:font="MS Gothic"/>
                </w14:checkbox>
              </w:sdtPr>
              <w:sdtEndPr/>
              <w:sdtContent>
                <w:r w:rsidR="00B13334" w:rsidRPr="00EA02FD">
                  <w:rPr>
                    <w:rFonts w:eastAsia="MS Gothic" w:hint="eastAsia"/>
                  </w:rPr>
                  <w:t>☐</w:t>
                </w:r>
              </w:sdtContent>
            </w:sdt>
            <w:r w:rsidR="00B13334" w:rsidRPr="004A2C36">
              <w:t xml:space="preserve"> </w:t>
            </w:r>
          </w:p>
        </w:tc>
      </w:tr>
      <w:tr w:rsidR="004A2C36" w:rsidRPr="004A2C36" w14:paraId="5B1B32AF" w14:textId="77777777" w:rsidTr="00D16396">
        <w:trPr>
          <w:cantSplit/>
        </w:trPr>
        <w:tc>
          <w:tcPr>
            <w:tcW w:w="2717" w:type="dxa"/>
            <w:tcBorders>
              <w:top w:val="single" w:sz="4" w:space="0" w:color="auto"/>
              <w:left w:val="single" w:sz="4" w:space="0" w:color="auto"/>
              <w:bottom w:val="single" w:sz="4" w:space="0" w:color="auto"/>
              <w:right w:val="single" w:sz="4" w:space="0" w:color="auto"/>
            </w:tcBorders>
            <w:vAlign w:val="center"/>
          </w:tcPr>
          <w:p w14:paraId="37010140" w14:textId="77777777" w:rsidR="004A2C36" w:rsidRPr="004A2C36" w:rsidRDefault="004A2C36" w:rsidP="00264A14">
            <w:pPr>
              <w:pStyle w:val="Nachrichtenkopf"/>
            </w:pPr>
            <w:r w:rsidRPr="004A2C36">
              <w:t>Blitzschlag:</w:t>
            </w:r>
          </w:p>
        </w:tc>
        <w:tc>
          <w:tcPr>
            <w:tcW w:w="5603" w:type="dxa"/>
            <w:tcBorders>
              <w:top w:val="single" w:sz="4" w:space="0" w:color="auto"/>
              <w:left w:val="single" w:sz="4" w:space="0" w:color="auto"/>
              <w:bottom w:val="single" w:sz="4" w:space="0" w:color="auto"/>
              <w:right w:val="single" w:sz="4" w:space="0" w:color="auto"/>
            </w:tcBorders>
            <w:vAlign w:val="center"/>
          </w:tcPr>
          <w:p w14:paraId="3C99D1B0" w14:textId="77777777" w:rsidR="004A2C36" w:rsidRPr="004A2C36" w:rsidRDefault="004A2C36" w:rsidP="00264A14">
            <w:pPr>
              <w:pStyle w:val="Nachrichtenkopf"/>
            </w:pPr>
            <w:r w:rsidRPr="004A2C36">
              <w:t>z.B. Blitzschutzanlage muss installiert sein</w:t>
            </w:r>
            <w:r w:rsidR="00D46181">
              <w:t>, wenn der Ableitweg für die Blitzschutzanlage den Batterieraum tangiert.</w:t>
            </w:r>
          </w:p>
        </w:tc>
        <w:tc>
          <w:tcPr>
            <w:tcW w:w="1201" w:type="dxa"/>
            <w:tcBorders>
              <w:top w:val="single" w:sz="4" w:space="0" w:color="auto"/>
              <w:left w:val="single" w:sz="4" w:space="0" w:color="auto"/>
              <w:bottom w:val="single" w:sz="4" w:space="0" w:color="auto"/>
              <w:right w:val="single" w:sz="4" w:space="0" w:color="auto"/>
            </w:tcBorders>
            <w:vAlign w:val="center"/>
          </w:tcPr>
          <w:p w14:paraId="740E13D1" w14:textId="7F9CE51F" w:rsidR="004A2C36" w:rsidRPr="004A2C36" w:rsidRDefault="00F92EBF" w:rsidP="00264A14">
            <w:sdt>
              <w:sdtPr>
                <w:rPr>
                  <w:rFonts w:eastAsia="MS Gothic"/>
                </w:rPr>
                <w:id w:val="1190875814"/>
                <w14:checkbox>
                  <w14:checked w14:val="0"/>
                  <w14:checkedState w14:val="2612" w14:font="MS Gothic"/>
                  <w14:uncheckedState w14:val="2610" w14:font="MS Gothic"/>
                </w14:checkbox>
              </w:sdtPr>
              <w:sdtEndPr/>
              <w:sdtContent>
                <w:r w:rsidR="00B13334" w:rsidRPr="00EA02FD">
                  <w:rPr>
                    <w:rFonts w:eastAsia="MS Gothic" w:hint="eastAsia"/>
                  </w:rPr>
                  <w:t>☐</w:t>
                </w:r>
              </w:sdtContent>
            </w:sdt>
          </w:p>
        </w:tc>
      </w:tr>
    </w:tbl>
    <w:p w14:paraId="3D7443DC" w14:textId="5248A25C" w:rsidR="00684173" w:rsidRDefault="00684173" w:rsidP="00264A14"/>
    <w:p w14:paraId="478980C8" w14:textId="77777777" w:rsidR="00684173" w:rsidRDefault="00684173" w:rsidP="00264A14">
      <w:r>
        <w:br w:type="page"/>
      </w:r>
    </w:p>
    <w:p w14:paraId="41C589EA" w14:textId="77777777" w:rsidR="004A2C36" w:rsidRPr="004A2C36" w:rsidRDefault="004A2C36" w:rsidP="00264A14"/>
    <w:p w14:paraId="6579BAFB" w14:textId="0A072D97" w:rsidR="00684173" w:rsidRPr="004A2C36" w:rsidRDefault="00684173" w:rsidP="00264A14">
      <w:pPr>
        <w:pStyle w:val="berschrift1"/>
      </w:pPr>
      <w:bookmarkStart w:id="69" w:name="_Toc54433094"/>
      <w:bookmarkStart w:id="70" w:name="_Toc54440161"/>
      <w:bookmarkStart w:id="71" w:name="_Toc54595579"/>
      <w:r w:rsidRPr="004A2C36">
        <w:t>Notwendige Prüfungen</w:t>
      </w:r>
      <w:bookmarkEnd w:id="69"/>
      <w:bookmarkEnd w:id="70"/>
      <w:bookmarkEnd w:id="71"/>
    </w:p>
    <w:tbl>
      <w:tblPr>
        <w:tblW w:w="95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77"/>
        <w:gridCol w:w="3544"/>
      </w:tblGrid>
      <w:tr w:rsidR="00315007" w:rsidRPr="004A2C36" w14:paraId="0B224240" w14:textId="77777777" w:rsidTr="00633900">
        <w:trPr>
          <w:cantSplit/>
          <w:trHeight w:val="467"/>
        </w:trPr>
        <w:tc>
          <w:tcPr>
            <w:tcW w:w="5977" w:type="dxa"/>
            <w:tcBorders>
              <w:top w:val="single" w:sz="4" w:space="0" w:color="auto"/>
              <w:left w:val="single" w:sz="4" w:space="0" w:color="auto"/>
              <w:bottom w:val="nil"/>
              <w:right w:val="single" w:sz="4" w:space="0" w:color="auto"/>
            </w:tcBorders>
            <w:vAlign w:val="center"/>
          </w:tcPr>
          <w:p w14:paraId="1D12FE96" w14:textId="77777777" w:rsidR="00315007" w:rsidRPr="004A2C36" w:rsidRDefault="00315007" w:rsidP="00264A14">
            <w:pPr>
              <w:pStyle w:val="Nachrichtenkopf"/>
            </w:pPr>
            <w:r w:rsidRPr="004A2C36">
              <w:sym w:font="Wingdings" w:char="F0F0"/>
            </w:r>
            <w:r w:rsidRPr="004A2C36">
              <w:t xml:space="preserve"> Prüfung der Neuanlage nach VEXAT §7 (1)</w:t>
            </w:r>
          </w:p>
        </w:tc>
        <w:tc>
          <w:tcPr>
            <w:tcW w:w="3544" w:type="dxa"/>
            <w:tcBorders>
              <w:top w:val="single" w:sz="4" w:space="0" w:color="auto"/>
              <w:left w:val="single" w:sz="4" w:space="0" w:color="auto"/>
              <w:bottom w:val="nil"/>
              <w:right w:val="single" w:sz="4" w:space="0" w:color="auto"/>
            </w:tcBorders>
            <w:vAlign w:val="center"/>
          </w:tcPr>
          <w:p w14:paraId="0BA33CA6" w14:textId="77777777" w:rsidR="00315007" w:rsidRDefault="00315007" w:rsidP="00264A14">
            <w:pPr>
              <w:pStyle w:val="Nachrichtenkopf"/>
            </w:pPr>
            <w:r w:rsidRPr="004A2C36">
              <w:t>Prüfung vor Inbetriebnahme</w:t>
            </w:r>
          </w:p>
          <w:p w14:paraId="7CBD7444" w14:textId="58D964FF" w:rsidR="00315007" w:rsidRPr="004A2C36" w:rsidRDefault="00F92EBF" w:rsidP="00264A14">
            <w:pPr>
              <w:pStyle w:val="Nachrichtenkopf"/>
              <w:rPr>
                <w:iCs/>
              </w:rPr>
            </w:pPr>
            <w:sdt>
              <w:sdtPr>
                <w:rPr>
                  <w:rFonts w:eastAsia="MS Gothic"/>
                </w:rPr>
                <w:id w:val="-1819402502"/>
                <w14:checkbox>
                  <w14:checked w14:val="0"/>
                  <w14:checkedState w14:val="2612" w14:font="MS Gothic"/>
                  <w14:uncheckedState w14:val="2610" w14:font="MS Gothic"/>
                </w14:checkbox>
              </w:sdtPr>
              <w:sdtEndPr/>
              <w:sdtContent>
                <w:r w:rsidR="00B13334" w:rsidRPr="00EA02FD">
                  <w:rPr>
                    <w:rFonts w:eastAsia="MS Gothic" w:hint="eastAsia"/>
                  </w:rPr>
                  <w:t>☐</w:t>
                </w:r>
              </w:sdtContent>
            </w:sdt>
          </w:p>
        </w:tc>
      </w:tr>
      <w:tr w:rsidR="003E39EA" w:rsidRPr="004A2C36" w14:paraId="6C5DC7A4" w14:textId="77777777" w:rsidTr="00633900">
        <w:trPr>
          <w:cantSplit/>
          <w:trHeight w:val="706"/>
        </w:trPr>
        <w:tc>
          <w:tcPr>
            <w:tcW w:w="5977" w:type="dxa"/>
            <w:tcBorders>
              <w:top w:val="single" w:sz="4" w:space="0" w:color="auto"/>
              <w:left w:val="single" w:sz="4" w:space="0" w:color="auto"/>
              <w:bottom w:val="nil"/>
              <w:right w:val="single" w:sz="4" w:space="0" w:color="auto"/>
            </w:tcBorders>
            <w:vAlign w:val="center"/>
          </w:tcPr>
          <w:p w14:paraId="2BAA4F2C" w14:textId="77777777" w:rsidR="003E39EA" w:rsidRDefault="003E39EA" w:rsidP="003E39EA">
            <w:pPr>
              <w:pStyle w:val="Nachrichtenkopf"/>
            </w:pPr>
            <w:r w:rsidRPr="004A2C36">
              <w:sym w:font="Wingdings" w:char="F0F0"/>
            </w:r>
            <w:r w:rsidRPr="004A2C36">
              <w:t xml:space="preserve"> Prüfung </w:t>
            </w:r>
            <w:r>
              <w:t>des Bodens</w:t>
            </w:r>
          </w:p>
          <w:p w14:paraId="3ED32BEB" w14:textId="3805F6E7" w:rsidR="003E39EA" w:rsidRPr="004A2C36" w:rsidRDefault="003E39EA" w:rsidP="00264A14">
            <w:pPr>
              <w:pStyle w:val="Nachrichtenkopf"/>
            </w:pPr>
            <w:r w:rsidRPr="006E71DD">
              <w:t>Die Ladebereiche müssen durch eine deutliche Markierung gekennzeichnet sein. Die Bodenbeschichtung muss säurebeständig sein und einen Widerstand zur Erde unter 100 MΩ (</w:t>
            </w:r>
            <w:r w:rsidRPr="006E71DD">
              <w:rPr>
                <w:rFonts w:eastAsia="Yu Gothic UI"/>
              </w:rPr>
              <w:t>≤</w:t>
            </w:r>
            <w:r>
              <w:rPr>
                <w:rFonts w:eastAsia="Yu Gothic UI"/>
              </w:rPr>
              <w:t xml:space="preserve"> 1 x </w:t>
            </w:r>
            <w:r w:rsidRPr="006E71DD">
              <w:t>10</w:t>
            </w:r>
            <w:r w:rsidRPr="006E71DD">
              <w:rPr>
                <w:vertAlign w:val="superscript"/>
              </w:rPr>
              <w:t>8</w:t>
            </w:r>
            <w:r w:rsidRPr="006E71DD">
              <w:t xml:space="preserve"> </w:t>
            </w:r>
            <w:r w:rsidRPr="006E71DD">
              <w:rPr>
                <w:rFonts w:eastAsia="Yu Gothic UI"/>
              </w:rPr>
              <w:t>Ω</w:t>
            </w:r>
            <w:r w:rsidRPr="006E71DD">
              <w:t>) besitzen, um Funkenbildung durch elektrostatische Entladung zu verhindern (nicht erforderlich für elektrische Heimgeräte, wie z. B. Krankenfahrstühle, Rasentraktoren usw.).</w:t>
            </w:r>
          </w:p>
        </w:tc>
        <w:tc>
          <w:tcPr>
            <w:tcW w:w="3544" w:type="dxa"/>
            <w:tcBorders>
              <w:top w:val="single" w:sz="4" w:space="0" w:color="auto"/>
              <w:left w:val="single" w:sz="4" w:space="0" w:color="auto"/>
              <w:bottom w:val="nil"/>
              <w:right w:val="single" w:sz="4" w:space="0" w:color="auto"/>
            </w:tcBorders>
            <w:vAlign w:val="center"/>
          </w:tcPr>
          <w:p w14:paraId="6BA1CFC6" w14:textId="77777777" w:rsidR="003E39EA" w:rsidRDefault="003E39EA" w:rsidP="003E39EA">
            <w:pPr>
              <w:pStyle w:val="Nachrichtenkopf"/>
            </w:pPr>
            <w:r w:rsidRPr="004A2C36">
              <w:t>Prüfung vor Inbetriebnahme</w:t>
            </w:r>
          </w:p>
          <w:p w14:paraId="4648A7E5" w14:textId="39ACBDCA" w:rsidR="003E39EA" w:rsidRPr="004A2C36" w:rsidRDefault="00F92EBF" w:rsidP="003E39EA">
            <w:pPr>
              <w:pStyle w:val="Nachrichtenkopf"/>
            </w:pPr>
            <w:sdt>
              <w:sdtPr>
                <w:rPr>
                  <w:rFonts w:eastAsia="MS Gothic"/>
                </w:rPr>
                <w:id w:val="-99020922"/>
                <w14:checkbox>
                  <w14:checked w14:val="0"/>
                  <w14:checkedState w14:val="2612" w14:font="MS Gothic"/>
                  <w14:uncheckedState w14:val="2610" w14:font="MS Gothic"/>
                </w14:checkbox>
              </w:sdtPr>
              <w:sdtEndPr/>
              <w:sdtContent>
                <w:r w:rsidR="003E39EA" w:rsidRPr="00EA02FD">
                  <w:rPr>
                    <w:rFonts w:eastAsia="MS Gothic" w:hint="eastAsia"/>
                  </w:rPr>
                  <w:t>☐</w:t>
                </w:r>
              </w:sdtContent>
            </w:sdt>
          </w:p>
        </w:tc>
      </w:tr>
      <w:tr w:rsidR="00C234EC" w:rsidRPr="004A2C36" w14:paraId="4FCBFFD7" w14:textId="77777777" w:rsidTr="00633900">
        <w:trPr>
          <w:cantSplit/>
          <w:trHeight w:val="706"/>
        </w:trPr>
        <w:tc>
          <w:tcPr>
            <w:tcW w:w="5977" w:type="dxa"/>
            <w:tcBorders>
              <w:top w:val="single" w:sz="4" w:space="0" w:color="auto"/>
              <w:left w:val="single" w:sz="4" w:space="0" w:color="auto"/>
              <w:bottom w:val="nil"/>
              <w:right w:val="single" w:sz="4" w:space="0" w:color="auto"/>
            </w:tcBorders>
            <w:vAlign w:val="center"/>
          </w:tcPr>
          <w:p w14:paraId="29B1047D" w14:textId="298B8C93" w:rsidR="00D46181" w:rsidRDefault="00C234EC" w:rsidP="00264A14">
            <w:pPr>
              <w:pStyle w:val="Nachrichtenkopf"/>
              <w:rPr>
                <w:b/>
                <w:bCs/>
              </w:rPr>
            </w:pPr>
            <w:r w:rsidRPr="004A2C36">
              <w:sym w:font="Wingdings" w:char="F0F0"/>
            </w:r>
            <w:r w:rsidRPr="004A2C36">
              <w:t xml:space="preserve"> Wiederkehrende Prüfung der Anlage und der elektrischen</w:t>
            </w:r>
            <w:r w:rsidR="00D47686">
              <w:t xml:space="preserve"> </w:t>
            </w:r>
            <w:r w:rsidRPr="004A2C36">
              <w:t>Betriebsmittel §7 (2)</w:t>
            </w:r>
            <w:r w:rsidR="00D46181">
              <w:rPr>
                <w:b/>
                <w:bCs/>
              </w:rPr>
              <w:tab/>
            </w:r>
          </w:p>
          <w:p w14:paraId="5AF4A1BE" w14:textId="1E42EEDD" w:rsidR="00C234EC" w:rsidRDefault="00C234EC" w:rsidP="00264A14">
            <w:pPr>
              <w:pStyle w:val="Nachrichtenkopf"/>
            </w:pPr>
            <w:r w:rsidRPr="004A2C36">
              <w:t>Elektrische Überprüfung</w:t>
            </w:r>
            <w:r w:rsidR="00D46181">
              <w:t xml:space="preserve"> für explosionsgeschützte Geräte und Anlagen</w:t>
            </w:r>
            <w:r w:rsidR="00BC0DEB">
              <w:t>,</w:t>
            </w:r>
            <w:r w:rsidR="00D46181">
              <w:t xml:space="preserve"> </w:t>
            </w:r>
            <w:r w:rsidR="00633900">
              <w:t xml:space="preserve">die in der Liste </w:t>
            </w:r>
            <w:r w:rsidR="00D46181">
              <w:t>angeführt sind.</w:t>
            </w:r>
          </w:p>
          <w:p w14:paraId="070606B5" w14:textId="77B0F6AF" w:rsidR="00D47686" w:rsidRPr="004A2C36" w:rsidRDefault="00D47686" w:rsidP="00264A14">
            <w:pPr>
              <w:pStyle w:val="Nachrichtenkopf"/>
            </w:pPr>
          </w:p>
        </w:tc>
        <w:tc>
          <w:tcPr>
            <w:tcW w:w="3544" w:type="dxa"/>
            <w:tcBorders>
              <w:top w:val="single" w:sz="4" w:space="0" w:color="auto"/>
              <w:left w:val="single" w:sz="4" w:space="0" w:color="auto"/>
              <w:bottom w:val="nil"/>
              <w:right w:val="single" w:sz="4" w:space="0" w:color="auto"/>
            </w:tcBorders>
            <w:vAlign w:val="center"/>
          </w:tcPr>
          <w:p w14:paraId="7C2229A9" w14:textId="77777777" w:rsidR="00B13334" w:rsidRDefault="00B13334" w:rsidP="00264A14">
            <w:pPr>
              <w:pStyle w:val="Nachrichtenkopf"/>
            </w:pPr>
            <w:r w:rsidRPr="004A2C36">
              <w:t>Intervall:</w:t>
            </w:r>
          </w:p>
          <w:p w14:paraId="45A53826" w14:textId="77777777" w:rsidR="00B13334" w:rsidRDefault="00F92EBF" w:rsidP="00264A14">
            <w:sdt>
              <w:sdtPr>
                <w:id w:val="318087034"/>
                <w14:checkbox>
                  <w14:checked w14:val="0"/>
                  <w14:checkedState w14:val="2612" w14:font="MS Gothic"/>
                  <w14:uncheckedState w14:val="2610" w14:font="MS Gothic"/>
                </w14:checkbox>
              </w:sdtPr>
              <w:sdtEndPr/>
              <w:sdtContent>
                <w:r w:rsidR="00B13334">
                  <w:rPr>
                    <w:rFonts w:ascii="MS Gothic" w:eastAsia="MS Gothic" w:hAnsi="MS Gothic" w:hint="eastAsia"/>
                  </w:rPr>
                  <w:t>☐</w:t>
                </w:r>
              </w:sdtContent>
            </w:sdt>
            <w:r w:rsidR="00B13334">
              <w:t xml:space="preserve"> </w:t>
            </w:r>
            <w:r w:rsidR="00B13334" w:rsidRPr="004A2C36">
              <w:t xml:space="preserve">jährlich  </w:t>
            </w:r>
          </w:p>
          <w:p w14:paraId="0D3BF253" w14:textId="5582710E" w:rsidR="00C234EC" w:rsidRPr="004A2C36" w:rsidRDefault="00F92EBF" w:rsidP="00264A14">
            <w:pPr>
              <w:pStyle w:val="Nachrichtenkopf"/>
            </w:pPr>
            <w:sdt>
              <w:sdtPr>
                <w:id w:val="1821846224"/>
                <w14:checkbox>
                  <w14:checked w14:val="0"/>
                  <w14:checkedState w14:val="2612" w14:font="MS Gothic"/>
                  <w14:uncheckedState w14:val="2610" w14:font="MS Gothic"/>
                </w14:checkbox>
              </w:sdtPr>
              <w:sdtEndPr/>
              <w:sdtContent>
                <w:r w:rsidR="00B13334">
                  <w:rPr>
                    <w:rFonts w:ascii="MS Gothic" w:eastAsia="MS Gothic" w:hAnsi="MS Gothic" w:hint="eastAsia"/>
                  </w:rPr>
                  <w:t>☐</w:t>
                </w:r>
              </w:sdtContent>
            </w:sdt>
            <w:r w:rsidR="00BC0DEB">
              <w:t xml:space="preserve"> </w:t>
            </w:r>
            <w:r w:rsidR="00B13334" w:rsidRPr="004A2C36">
              <w:t>alle 3 Jahre</w:t>
            </w:r>
          </w:p>
        </w:tc>
      </w:tr>
      <w:tr w:rsidR="00242C69" w:rsidRPr="004A2C36" w14:paraId="1086DAE2" w14:textId="77777777" w:rsidTr="00242C69">
        <w:trPr>
          <w:cantSplit/>
          <w:trHeight w:val="412"/>
        </w:trPr>
        <w:tc>
          <w:tcPr>
            <w:tcW w:w="5977" w:type="dxa"/>
            <w:tcBorders>
              <w:top w:val="single" w:sz="4" w:space="0" w:color="auto"/>
              <w:left w:val="single" w:sz="4" w:space="0" w:color="auto"/>
              <w:bottom w:val="single" w:sz="4" w:space="0" w:color="auto"/>
              <w:right w:val="single" w:sz="4" w:space="0" w:color="auto"/>
            </w:tcBorders>
            <w:vAlign w:val="center"/>
          </w:tcPr>
          <w:p w14:paraId="1D754B43" w14:textId="77777777" w:rsidR="00242C69" w:rsidRDefault="00242C69" w:rsidP="00915DF6">
            <w:pPr>
              <w:pStyle w:val="Nachrichtenkopf"/>
            </w:pPr>
            <w:r w:rsidRPr="004A2C36">
              <w:sym w:font="Wingdings" w:char="F0F0"/>
            </w:r>
            <w:r w:rsidRPr="004A2C36">
              <w:t xml:space="preserve"> Wiederkehrende Prüfung §7 (3)</w:t>
            </w:r>
            <w:r>
              <w:t xml:space="preserve"> </w:t>
            </w:r>
            <w:r w:rsidRPr="008E6642">
              <w:rPr>
                <w:bCs/>
              </w:rPr>
              <w:t>Lüftung und Absaugung</w:t>
            </w:r>
          </w:p>
          <w:p w14:paraId="37D50A61" w14:textId="77777777" w:rsidR="00242C69" w:rsidRDefault="00242C69" w:rsidP="00915DF6">
            <w:pPr>
              <w:pStyle w:val="Nachrichtenkopf"/>
            </w:pPr>
            <w:r>
              <w:t>Alternative Möglichkeiten:</w:t>
            </w:r>
          </w:p>
          <w:p w14:paraId="02FBF832" w14:textId="221D7CBC" w:rsidR="00242C69" w:rsidRDefault="00242C69" w:rsidP="00915DF6">
            <w:pPr>
              <w:pStyle w:val="Nachrichtenkopf"/>
            </w:pPr>
            <w:r>
              <w:t>Wenn der Strömungswächter sicherheitsgerichtet ausgeführt wurde (SIL 1) gilt das als permanente Prüfung der Absaugung</w:t>
            </w:r>
          </w:p>
          <w:p w14:paraId="176D382F" w14:textId="01512C4F" w:rsidR="00242C69" w:rsidRPr="004A2C36" w:rsidRDefault="00242C69" w:rsidP="00915DF6">
            <w:pPr>
              <w:pStyle w:val="Nachrichtenkopf"/>
            </w:pPr>
            <w:r>
              <w:t>Wenn der Strömungswächter nicht sicherheitsgerichtet ausgeführt wurde</w:t>
            </w:r>
            <w:r w:rsidR="00CE56A6">
              <w:t>,</w:t>
            </w:r>
            <w:r>
              <w:t xml:space="preserve"> ist zumindest dieser 1x jährlich zu prüfen</w:t>
            </w:r>
          </w:p>
        </w:tc>
        <w:tc>
          <w:tcPr>
            <w:tcW w:w="3544" w:type="dxa"/>
            <w:tcBorders>
              <w:top w:val="single" w:sz="4" w:space="0" w:color="auto"/>
              <w:left w:val="single" w:sz="4" w:space="0" w:color="auto"/>
              <w:bottom w:val="single" w:sz="4" w:space="0" w:color="auto"/>
              <w:right w:val="single" w:sz="4" w:space="0" w:color="auto"/>
            </w:tcBorders>
            <w:vAlign w:val="center"/>
          </w:tcPr>
          <w:p w14:paraId="54112862" w14:textId="77777777" w:rsidR="00242C69" w:rsidRDefault="00242C69" w:rsidP="00915DF6">
            <w:pPr>
              <w:pStyle w:val="Nachrichtenkopf"/>
            </w:pPr>
            <w:r w:rsidRPr="004A2C36">
              <w:t>Intervall:</w:t>
            </w:r>
          </w:p>
          <w:p w14:paraId="3147291F" w14:textId="77777777" w:rsidR="00242C69" w:rsidRDefault="00F92EBF" w:rsidP="00915DF6">
            <w:pPr>
              <w:rPr>
                <w:iCs/>
              </w:rPr>
            </w:pPr>
            <w:sdt>
              <w:sdtPr>
                <w:id w:val="150646813"/>
                <w14:checkbox>
                  <w14:checked w14:val="0"/>
                  <w14:checkedState w14:val="2612" w14:font="MS Gothic"/>
                  <w14:uncheckedState w14:val="2610" w14:font="MS Gothic"/>
                </w14:checkbox>
              </w:sdtPr>
              <w:sdtEndPr/>
              <w:sdtContent>
                <w:r w:rsidR="00242C69">
                  <w:rPr>
                    <w:rFonts w:ascii="MS Gothic" w:eastAsia="MS Gothic" w:hAnsi="MS Gothic" w:hint="eastAsia"/>
                  </w:rPr>
                  <w:t>☐</w:t>
                </w:r>
              </w:sdtContent>
            </w:sdt>
            <w:r w:rsidR="00242C69">
              <w:t xml:space="preserve"> </w:t>
            </w:r>
            <w:r w:rsidR="00242C69" w:rsidRPr="004A2C36">
              <w:rPr>
                <w:iCs/>
              </w:rPr>
              <w:t>jährlich</w:t>
            </w:r>
            <w:r w:rsidR="00242C69">
              <w:rPr>
                <w:iCs/>
              </w:rPr>
              <w:t>e Prüfung gesamte Absaugung</w:t>
            </w:r>
          </w:p>
          <w:p w14:paraId="120144DC" w14:textId="77777777" w:rsidR="00242C69" w:rsidRDefault="00F92EBF" w:rsidP="00915DF6">
            <w:sdt>
              <w:sdtPr>
                <w:id w:val="-1056928130"/>
                <w14:checkbox>
                  <w14:checked w14:val="0"/>
                  <w14:checkedState w14:val="2612" w14:font="MS Gothic"/>
                  <w14:uncheckedState w14:val="2610" w14:font="MS Gothic"/>
                </w14:checkbox>
              </w:sdtPr>
              <w:sdtEndPr/>
              <w:sdtContent>
                <w:r w:rsidR="00242C69">
                  <w:rPr>
                    <w:rFonts w:ascii="MS Gothic" w:eastAsia="MS Gothic" w:hAnsi="MS Gothic" w:hint="eastAsia"/>
                  </w:rPr>
                  <w:t>☐</w:t>
                </w:r>
              </w:sdtContent>
            </w:sdt>
            <w:r w:rsidR="00242C69">
              <w:t xml:space="preserve"> Strömungswächter (SIL 1)</w:t>
            </w:r>
          </w:p>
          <w:p w14:paraId="55BB610C" w14:textId="77777777" w:rsidR="00242C69" w:rsidRPr="003757E5" w:rsidRDefault="00F92EBF" w:rsidP="00915DF6">
            <w:sdt>
              <w:sdtPr>
                <w:id w:val="-169109285"/>
                <w14:checkbox>
                  <w14:checked w14:val="0"/>
                  <w14:checkedState w14:val="2612" w14:font="MS Gothic"/>
                  <w14:uncheckedState w14:val="2610" w14:font="MS Gothic"/>
                </w14:checkbox>
              </w:sdtPr>
              <w:sdtEndPr/>
              <w:sdtContent>
                <w:r w:rsidR="00242C69">
                  <w:rPr>
                    <w:rFonts w:ascii="MS Gothic" w:eastAsia="MS Gothic" w:hAnsi="MS Gothic" w:hint="eastAsia"/>
                  </w:rPr>
                  <w:t>☐</w:t>
                </w:r>
              </w:sdtContent>
            </w:sdt>
            <w:r w:rsidR="00242C69" w:rsidRPr="004A2C36">
              <w:rPr>
                <w:iCs/>
              </w:rPr>
              <w:t xml:space="preserve"> jährlich</w:t>
            </w:r>
            <w:r w:rsidR="00242C69">
              <w:rPr>
                <w:iCs/>
              </w:rPr>
              <w:t xml:space="preserve">e Prüfung </w:t>
            </w:r>
            <w:r w:rsidR="00242C69">
              <w:t xml:space="preserve">Strömungswächter </w:t>
            </w:r>
          </w:p>
        </w:tc>
      </w:tr>
    </w:tbl>
    <w:p w14:paraId="4070AF8C" w14:textId="77777777" w:rsidR="00633900" w:rsidRDefault="00633900" w:rsidP="00264A14"/>
    <w:tbl>
      <w:tblPr>
        <w:tblW w:w="952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1"/>
      </w:tblGrid>
      <w:tr w:rsidR="00C234EC" w:rsidRPr="004A2C36" w14:paraId="3234B846" w14:textId="77777777" w:rsidTr="00EB41CD">
        <w:trPr>
          <w:cantSplit/>
          <w:trHeight w:val="417"/>
        </w:trPr>
        <w:tc>
          <w:tcPr>
            <w:tcW w:w="9521" w:type="dxa"/>
            <w:tcBorders>
              <w:top w:val="single" w:sz="4" w:space="0" w:color="auto"/>
              <w:left w:val="single" w:sz="4" w:space="0" w:color="auto"/>
              <w:bottom w:val="single" w:sz="4" w:space="0" w:color="auto"/>
              <w:right w:val="single" w:sz="4" w:space="0" w:color="auto"/>
            </w:tcBorders>
            <w:vAlign w:val="center"/>
          </w:tcPr>
          <w:p w14:paraId="386C6A3F" w14:textId="77777777" w:rsidR="00C234EC" w:rsidRPr="004A2C36" w:rsidRDefault="00C234EC" w:rsidP="00264A14">
            <w:pPr>
              <w:pStyle w:val="Nachrichtenkopf"/>
            </w:pPr>
            <w:r w:rsidRPr="004A2C36">
              <w:t>Zur Kontrolle der Prüfungen siehe die Liste der wiederkehrenden Prüfungen im Sicherheits- und Gesundheitsschutzdokument. Evtl. offene Maßnahmen in den jeweiligen Prüfprotokollen müssen behoben worden sein.</w:t>
            </w:r>
          </w:p>
        </w:tc>
      </w:tr>
    </w:tbl>
    <w:p w14:paraId="041DB0C4" w14:textId="123B9DCE" w:rsidR="00C2304B" w:rsidRPr="004A2C36" w:rsidRDefault="00C2304B" w:rsidP="00264A14"/>
    <w:p w14:paraId="74D1F594" w14:textId="1E746330" w:rsidR="00684173" w:rsidRDefault="00684173" w:rsidP="00264A14">
      <w:pPr>
        <w:pStyle w:val="berschrift1"/>
      </w:pPr>
      <w:bookmarkStart w:id="72" w:name="_Toc54433095"/>
      <w:bookmarkStart w:id="73" w:name="_Toc54440162"/>
      <w:bookmarkStart w:id="74" w:name="_Toc54595580"/>
      <w:r w:rsidRPr="004A2C36">
        <w:t>Instandhaltung, Reinigung, Wartung, Störungsbehebungen</w:t>
      </w:r>
      <w:bookmarkEnd w:id="72"/>
      <w:bookmarkEnd w:id="73"/>
      <w:bookmarkEnd w:id="74"/>
    </w:p>
    <w:p w14:paraId="6B407B4C" w14:textId="77777777" w:rsidR="00633900" w:rsidRDefault="00633900" w:rsidP="00264A14">
      <w:pPr>
        <w:pStyle w:val="berschrift2"/>
      </w:pPr>
      <w:bookmarkStart w:id="75" w:name="_Toc54440163"/>
      <w:bookmarkStart w:id="76" w:name="_Toc54595581"/>
      <w:r>
        <w:t>Schutzmaßnahmen während der Wartung</w:t>
      </w:r>
      <w:bookmarkEnd w:id="75"/>
      <w:bookmarkEnd w:id="76"/>
    </w:p>
    <w:p w14:paraId="23C7095F" w14:textId="35FCD454" w:rsidR="00633900" w:rsidRDefault="00633900" w:rsidP="00F17CA2">
      <w:r>
        <w:t>Um das Risiko von Verletzungen bei Arbeiten unter Spannung zu verringern, dürfen nur isolierte Werkzeuge nach IEC 60900 benutzt und müssen folgende Maßnahmen umgesetzt werden:</w:t>
      </w:r>
    </w:p>
    <w:p w14:paraId="3F6A5A6E" w14:textId="77777777" w:rsidR="00F17CA2" w:rsidRDefault="00F17CA2" w:rsidP="00F17CA2"/>
    <w:p w14:paraId="25BF579B" w14:textId="77777777" w:rsidR="00633900" w:rsidRDefault="00633900" w:rsidP="00004185">
      <w:pPr>
        <w:pStyle w:val="Listenabsatz"/>
        <w:numPr>
          <w:ilvl w:val="0"/>
          <w:numId w:val="8"/>
        </w:numPr>
      </w:pPr>
      <w:r>
        <w:t>Batterien dürfen weder angeschlossen noch abgetrennt werden, bevor nicht zuerst der Lade- oder Batteriestromkreis abgeschaltet wurde;</w:t>
      </w:r>
    </w:p>
    <w:p w14:paraId="3890A3D6" w14:textId="16D356D0" w:rsidR="00633900" w:rsidRDefault="00633900" w:rsidP="00004185">
      <w:pPr>
        <w:pStyle w:val="Listenabsatz"/>
        <w:numPr>
          <w:ilvl w:val="0"/>
          <w:numId w:val="8"/>
        </w:numPr>
      </w:pPr>
      <w:r>
        <w:t xml:space="preserve">auf den Batterien sind Pol- und Verbinderabdeckungen vorzusehen, </w:t>
      </w:r>
      <w:r w:rsidR="008E447B">
        <w:t xml:space="preserve">die </w:t>
      </w:r>
      <w:r w:rsidR="00326856">
        <w:t>die routinemäßigen Wartungsarbeiten</w:t>
      </w:r>
      <w:r>
        <w:t xml:space="preserve"> ermöglichen, ohne dass spannungsführende leitfähige Teile leicht zugänglich sind;</w:t>
      </w:r>
    </w:p>
    <w:p w14:paraId="1FEA0A02" w14:textId="77777777" w:rsidR="00633900" w:rsidRDefault="00633900" w:rsidP="00004185">
      <w:pPr>
        <w:pStyle w:val="Listenabsatz"/>
        <w:numPr>
          <w:ilvl w:val="0"/>
          <w:numId w:val="8"/>
        </w:numPr>
      </w:pPr>
      <w:r>
        <w:t>vor Beginn der Arbeiten sind alle metallischen Objekte von den Händen, Handgelenken und dem Hals zu entfernen;</w:t>
      </w:r>
    </w:p>
    <w:p w14:paraId="708EAA38" w14:textId="77777777" w:rsidR="00633900" w:rsidRDefault="00633900" w:rsidP="00004185">
      <w:pPr>
        <w:pStyle w:val="Listenabsatz"/>
        <w:numPr>
          <w:ilvl w:val="0"/>
          <w:numId w:val="8"/>
        </w:numPr>
      </w:pPr>
      <w:r>
        <w:t>bei Batterieanlagen mit Nennspannungen größer DC 120 V sind isolierende Schutzkleidung und/oder örtliche isolierende Abdeckungen erforderlich, um zu vermeiden, dass das Wartungspersonal eine Verbindung gegen Erde oder zu Teilen, die mit Erde verbunden sind, herstellen kann. Isolierte Schutzkleidung und Bodenbelag müssen antistatisch sein.</w:t>
      </w:r>
    </w:p>
    <w:p w14:paraId="2C2508BA" w14:textId="7405334B" w:rsidR="00633900" w:rsidRDefault="00633900" w:rsidP="00F17CA2">
      <w:r>
        <w:t>Aus Sicherheitsgründen sollten Batterien mit Nennspannungen größer DC 120 V zu Wartungszwecken in Gruppen kleiner gleich DC 120 V unterteilt werden.</w:t>
      </w:r>
    </w:p>
    <w:p w14:paraId="23CC8E14" w14:textId="77777777" w:rsidR="00633900" w:rsidRPr="00FA477B" w:rsidRDefault="00633900" w:rsidP="00264A14">
      <w:pPr>
        <w:pStyle w:val="berschrift2"/>
      </w:pPr>
      <w:bookmarkStart w:id="77" w:name="_Toc54440164"/>
      <w:bookmarkStart w:id="78" w:name="_Toc54595582"/>
      <w:r w:rsidRPr="00FA477B">
        <w:lastRenderedPageBreak/>
        <w:t>Elektrolyt und Wasser</w:t>
      </w:r>
      <w:bookmarkEnd w:id="77"/>
      <w:bookmarkEnd w:id="78"/>
    </w:p>
    <w:p w14:paraId="79736C2E" w14:textId="77777777" w:rsidR="00633900" w:rsidRDefault="00633900" w:rsidP="00264A14">
      <w:r>
        <w:t>Der in Blei-Säure-Batterien verwendete Elektrolyt ist eine wässrige Lösung von Schwefelsäure. Der Elektrolyt in NiCd- und NiMH-Batterien ist eine wässrige Lösung von Kalilauge. Zum Nachfüllen der Zellen darf nur destilliertes oder entmineralisiertes Wasser verwendet werden. Die Leitfähigkeit der neuen Wasserbefüllung sollte höchstens 10 μS/cm betragen. Für gelagertes Wasser ist eine Leitfähigkeit von höchstens 30 μS/cm akzeptabel.</w:t>
      </w:r>
    </w:p>
    <w:p w14:paraId="5C0A1586" w14:textId="77777777" w:rsidR="00633900" w:rsidRDefault="00633900" w:rsidP="00264A14">
      <w:pPr>
        <w:pStyle w:val="berschrift2"/>
      </w:pPr>
      <w:bookmarkStart w:id="79" w:name="_Toc54440165"/>
      <w:bookmarkStart w:id="80" w:name="_Toc54595583"/>
      <w:r>
        <w:t>Schutzkleidung</w:t>
      </w:r>
      <w:bookmarkEnd w:id="79"/>
      <w:bookmarkEnd w:id="80"/>
    </w:p>
    <w:p w14:paraId="09E8966A" w14:textId="35226C5B" w:rsidR="00633900" w:rsidRDefault="00633900" w:rsidP="00264A14">
      <w:r>
        <w:t xml:space="preserve">Zum persönlichen Schutz gegen Elektrolytspritzer beim Umgang </w:t>
      </w:r>
      <w:r w:rsidR="00326856">
        <w:t>mit Elektrolyten</w:t>
      </w:r>
      <w:r>
        <w:t xml:space="preserve"> oder geschlossenen Zellen oder Batterien muss Schutzbekleidung getragen werden, wie z. B.</w:t>
      </w:r>
    </w:p>
    <w:p w14:paraId="3ADF2717" w14:textId="68AC03AF" w:rsidR="00633900" w:rsidRDefault="00633900" w:rsidP="00004185">
      <w:pPr>
        <w:pStyle w:val="Listenabsatz"/>
        <w:numPr>
          <w:ilvl w:val="0"/>
          <w:numId w:val="5"/>
        </w:numPr>
      </w:pPr>
      <w:r>
        <w:t>Schutzbrille Gesichtsschutzschild,</w:t>
      </w:r>
    </w:p>
    <w:p w14:paraId="37F25219" w14:textId="1840FF96" w:rsidR="00D47686" w:rsidRDefault="00633900" w:rsidP="00004185">
      <w:pPr>
        <w:pStyle w:val="Listenabsatz"/>
        <w:numPr>
          <w:ilvl w:val="0"/>
          <w:numId w:val="5"/>
        </w:numPr>
      </w:pPr>
      <w:r>
        <w:t>Schutzhandschuhe und Schürze.</w:t>
      </w:r>
    </w:p>
    <w:p w14:paraId="3EFBA694" w14:textId="305FDCF2" w:rsidR="00D47686" w:rsidRDefault="00D47686" w:rsidP="00004185">
      <w:pPr>
        <w:pStyle w:val="Listenabsatz"/>
        <w:numPr>
          <w:ilvl w:val="0"/>
          <w:numId w:val="5"/>
        </w:numPr>
      </w:pPr>
      <w:r>
        <w:t>Ableitfähiges Schuhwerk</w:t>
      </w:r>
    </w:p>
    <w:p w14:paraId="6DE3C3DA" w14:textId="77777777" w:rsidR="00633900" w:rsidRDefault="00633900" w:rsidP="00264A14">
      <w:r>
        <w:t>Bei verschlossenen oder gasdichten Batterien müssen wenigstens Schutzbrillen und Schutzhandschuhe getragen werden.</w:t>
      </w:r>
    </w:p>
    <w:p w14:paraId="55DD633A" w14:textId="2D0F8AFF" w:rsidR="00633900" w:rsidRDefault="00633900" w:rsidP="00264A14">
      <w:pPr>
        <w:pStyle w:val="berschrift2"/>
      </w:pPr>
      <w:bookmarkStart w:id="81" w:name="_Toc54440166"/>
      <w:bookmarkStart w:id="82" w:name="_Toc54595584"/>
      <w:r>
        <w:t xml:space="preserve">Versehentlicher Kontakt </w:t>
      </w:r>
      <w:r w:rsidR="00326856">
        <w:t>mit Elektrolyten</w:t>
      </w:r>
      <w:r>
        <w:t>, „Erste Hilfe“</w:t>
      </w:r>
      <w:bookmarkEnd w:id="81"/>
      <w:bookmarkEnd w:id="82"/>
    </w:p>
    <w:p w14:paraId="29348A9A" w14:textId="77777777" w:rsidR="00633900" w:rsidRDefault="00633900" w:rsidP="00264A14">
      <w:pPr>
        <w:pStyle w:val="berschrift3"/>
      </w:pPr>
      <w:bookmarkStart w:id="83" w:name="_Toc54440167"/>
      <w:bookmarkStart w:id="84" w:name="_Toc54595585"/>
      <w:r>
        <w:t>Allgemeines</w:t>
      </w:r>
      <w:bookmarkEnd w:id="83"/>
      <w:bookmarkEnd w:id="84"/>
    </w:p>
    <w:p w14:paraId="5FB60A50" w14:textId="77777777" w:rsidR="00633900" w:rsidRDefault="00633900" w:rsidP="00264A14">
      <w:r>
        <w:t>Säuren und alkalische Elektrolyten verursachen Verätzungen an den Augen und der Haut.</w:t>
      </w:r>
    </w:p>
    <w:p w14:paraId="65B68D21" w14:textId="77777777" w:rsidR="00633900" w:rsidRDefault="00633900" w:rsidP="00264A14">
      <w:r>
        <w:t>Sauberes Wasser, aus dem Hahn oder einem dafür vorgesehenen sterilen Behälter, muss in der Nähe der aufzuladenden oder zu wartenden Batterie zum Entfernen von Elektrolytspritzern auf Körperteilen bereitstehen.</w:t>
      </w:r>
    </w:p>
    <w:p w14:paraId="275124AC" w14:textId="77777777" w:rsidR="00633900" w:rsidRPr="00B45E2A" w:rsidRDefault="00633900" w:rsidP="00264A14">
      <w:pPr>
        <w:pStyle w:val="berschrift3"/>
      </w:pPr>
      <w:bookmarkStart w:id="85" w:name="_Toc54440168"/>
      <w:bookmarkStart w:id="86" w:name="_Toc54595586"/>
      <w:r w:rsidRPr="00B45E2A">
        <w:t>Augenkontakt</w:t>
      </w:r>
      <w:bookmarkEnd w:id="85"/>
      <w:bookmarkEnd w:id="86"/>
    </w:p>
    <w:p w14:paraId="5613A6DC" w14:textId="3B54FBBA" w:rsidR="00633900" w:rsidRDefault="00633900" w:rsidP="00264A14">
      <w:r>
        <w:t>Im Falle eines versehentlichen Kontaktes mit Elektrolyt</w:t>
      </w:r>
      <w:r w:rsidR="00DA7DC2">
        <w:t>en</w:t>
      </w:r>
      <w:r>
        <w:t xml:space="preserve"> müssen die Augen sofort über eine längere Zeit mit reichlichen Mengen Wasser gespült werden. In jedem Fall ist unverzüglich ärztliche Hilfe erforderlich.</w:t>
      </w:r>
    </w:p>
    <w:p w14:paraId="4AF51A11" w14:textId="77777777" w:rsidR="00633900" w:rsidRDefault="00633900" w:rsidP="00264A14">
      <w:pPr>
        <w:pStyle w:val="berschrift3"/>
      </w:pPr>
      <w:bookmarkStart w:id="87" w:name="_Toc54440169"/>
      <w:bookmarkStart w:id="88" w:name="_Toc54595587"/>
      <w:r>
        <w:t>Hautkontakt</w:t>
      </w:r>
      <w:bookmarkEnd w:id="87"/>
      <w:bookmarkEnd w:id="88"/>
    </w:p>
    <w:p w14:paraId="37F5D757" w14:textId="2F1E6A98" w:rsidR="00633900" w:rsidRDefault="00633900" w:rsidP="00264A14">
      <w:r>
        <w:t xml:space="preserve">Wenn die Haut versehentlich </w:t>
      </w:r>
      <w:r w:rsidR="00326856">
        <w:t>mit Elektrolyten</w:t>
      </w:r>
      <w:r>
        <w:t xml:space="preserve"> in Kontakt kommt, müssen die betroffenen Stellen mit reichlichen Mengen Wasser oder mit neutralisierenden Lösungen behandelt werden. Wenn die Reizung der Haut fortbesteht, ist ärztliche Hilfe erforderlich.</w:t>
      </w:r>
    </w:p>
    <w:p w14:paraId="6D530449" w14:textId="77777777" w:rsidR="00633900" w:rsidRDefault="00633900" w:rsidP="00264A14">
      <w:pPr>
        <w:pStyle w:val="berschrift2"/>
      </w:pPr>
      <w:bookmarkStart w:id="89" w:name="_Toc54440170"/>
      <w:bookmarkStart w:id="90" w:name="_Toc54595588"/>
      <w:r>
        <w:t>Batteriezubehör und Wartungswerkzeuge</w:t>
      </w:r>
      <w:bookmarkEnd w:id="89"/>
      <w:bookmarkEnd w:id="90"/>
    </w:p>
    <w:p w14:paraId="24D86300" w14:textId="68134600" w:rsidR="00633900" w:rsidRDefault="00633900" w:rsidP="00264A14">
      <w:r>
        <w:t>Die Materialien, die für Batteriezubehör, Batteriegestelle oder -einbauräume und für die Bauteile in den Batterieladeräumen verwendet werden, müssen widerstandsfähig ge</w:t>
      </w:r>
      <w:r w:rsidR="00DA7DC2">
        <w:t>gen die chemischen Wirkungen der</w:t>
      </w:r>
      <w:r>
        <w:t xml:space="preserve"> Elektrolyten oder dagegen geschützt sein.</w:t>
      </w:r>
    </w:p>
    <w:p w14:paraId="1C5AC1DB" w14:textId="77777777" w:rsidR="00633900" w:rsidRDefault="00633900" w:rsidP="00264A14">
      <w:r>
        <w:t>Falls Elektrolyt verschüttet wurde, ist die Flüssigkeit umgehend mit saugfähigen und neutralisierenden Stoffen aufzunehmen und zu entfernen.</w:t>
      </w:r>
    </w:p>
    <w:p w14:paraId="60CBB3A4" w14:textId="0FC96B4C" w:rsidR="00633900" w:rsidRPr="004A2C36" w:rsidRDefault="00633900" w:rsidP="00264A14">
      <w:r>
        <w:t xml:space="preserve">Wartungswerkzeuge, die </w:t>
      </w:r>
      <w:r w:rsidR="00326856">
        <w:t>mit Elektrolyten</w:t>
      </w:r>
      <w:r>
        <w:t xml:space="preserve"> in Kontakt kommen, wie z. B. Trichter, Säuredichtemesser, Thermometer usw., müssen jeweils den Blei-Säure- oder NiCd-Batterien getrennt zugeordnet werden und dürfen nicht für andere Zwecke verwendet werden.</w:t>
      </w:r>
    </w:p>
    <w:p w14:paraId="400500E8" w14:textId="3365E5FC" w:rsidR="002806FA" w:rsidRPr="002806FA" w:rsidRDefault="002806FA" w:rsidP="00264A14">
      <w:pPr>
        <w:pStyle w:val="berschrift1"/>
      </w:pPr>
      <w:bookmarkStart w:id="91" w:name="_Toc54433099"/>
      <w:bookmarkStart w:id="92" w:name="_Toc54440171"/>
      <w:bookmarkStart w:id="93" w:name="_Toc54595589"/>
      <w:r w:rsidRPr="002806FA">
        <w:t>Durchführung von organisatorischen Maßnahmen</w:t>
      </w:r>
      <w:bookmarkEnd w:id="91"/>
      <w:bookmarkEnd w:id="92"/>
      <w:bookmarkEnd w:id="9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6C3C10" w:rsidRPr="004A2C36" w14:paraId="0F81990A" w14:textId="77777777" w:rsidTr="00EB41CD">
        <w:trPr>
          <w:trHeight w:val="454"/>
        </w:trPr>
        <w:tc>
          <w:tcPr>
            <w:tcW w:w="9634" w:type="dxa"/>
            <w:vAlign w:val="center"/>
          </w:tcPr>
          <w:p w14:paraId="653071F9" w14:textId="2E94C2B7" w:rsidR="00B13334" w:rsidRPr="004A2C36" w:rsidRDefault="00DA7DC2" w:rsidP="00004185">
            <w:pPr>
              <w:pStyle w:val="Textkrper-Zeileneinzug"/>
              <w:numPr>
                <w:ilvl w:val="3"/>
                <w:numId w:val="1"/>
              </w:numPr>
              <w:tabs>
                <w:tab w:val="clear" w:pos="1440"/>
              </w:tabs>
              <w:ind w:left="452"/>
            </w:pPr>
            <w:r>
              <w:t>Informierung</w:t>
            </w:r>
            <w:r w:rsidR="00B13334" w:rsidRPr="004A2C36">
              <w:t xml:space="preserve"> (§6(1) VEXAT) der betroffenen Personen wurde durchgeführt:   </w:t>
            </w:r>
            <w:r w:rsidR="00B13334" w:rsidRPr="004A2C36">
              <w:tab/>
            </w:r>
            <w:sdt>
              <w:sdtPr>
                <w:rPr>
                  <w:rFonts w:ascii="MS Gothic" w:eastAsia="MS Gothic" w:hAnsi="MS Gothic"/>
                </w:rPr>
                <w:id w:val="1539012966"/>
                <w14:checkbox>
                  <w14:checked w14:val="0"/>
                  <w14:checkedState w14:val="2612" w14:font="MS Gothic"/>
                  <w14:uncheckedState w14:val="2610" w14:font="MS Gothic"/>
                </w14:checkbox>
              </w:sdtPr>
              <w:sdtEndPr/>
              <w:sdtContent>
                <w:r w:rsidR="00B13334" w:rsidRPr="00EA02FD">
                  <w:rPr>
                    <w:rFonts w:ascii="MS Gothic" w:eastAsia="MS Gothic" w:hAnsi="MS Gothic" w:hint="eastAsia"/>
                  </w:rPr>
                  <w:t>☐</w:t>
                </w:r>
              </w:sdtContent>
            </w:sdt>
            <w:r w:rsidR="00B13334">
              <w:t xml:space="preserve"> </w:t>
            </w:r>
            <w:r w:rsidR="00B13334" w:rsidRPr="00EA02FD">
              <w:rPr>
                <w:iCs/>
              </w:rPr>
              <w:t>ja</w:t>
            </w:r>
          </w:p>
          <w:p w14:paraId="30296952" w14:textId="77777777" w:rsidR="00B13334" w:rsidRDefault="00B13334" w:rsidP="00004185">
            <w:pPr>
              <w:pStyle w:val="Textkrper-Zeileneinzug"/>
              <w:numPr>
                <w:ilvl w:val="3"/>
                <w:numId w:val="1"/>
              </w:numPr>
              <w:tabs>
                <w:tab w:val="clear" w:pos="1440"/>
              </w:tabs>
              <w:ind w:left="452"/>
            </w:pPr>
            <w:r w:rsidRPr="004A2C36">
              <w:t xml:space="preserve">Unterweisung (§6(2) VEXAT) der betroffenen Personen wurde durchgeführt:   </w:t>
            </w:r>
            <w:r w:rsidRPr="004A2C36">
              <w:tab/>
            </w:r>
            <w:sdt>
              <w:sdtPr>
                <w:rPr>
                  <w:rFonts w:ascii="MS Gothic" w:eastAsia="MS Gothic" w:hAnsi="MS Gothic"/>
                </w:rPr>
                <w:id w:val="-806157274"/>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r w:rsidRPr="00EA02FD">
              <w:rPr>
                <w:iCs/>
              </w:rPr>
              <w:t>ja</w:t>
            </w:r>
          </w:p>
          <w:p w14:paraId="15524083" w14:textId="065BF8B1" w:rsidR="006C3C10" w:rsidRPr="004A2C36" w:rsidRDefault="00B13334" w:rsidP="00004185">
            <w:pPr>
              <w:pStyle w:val="Textkrper-Zeileneinzug"/>
              <w:numPr>
                <w:ilvl w:val="3"/>
                <w:numId w:val="1"/>
              </w:numPr>
              <w:tabs>
                <w:tab w:val="clear" w:pos="1440"/>
              </w:tabs>
              <w:ind w:left="452"/>
            </w:pPr>
            <w:r>
              <w:t>System für Arbeitsfreigabe wurde erstellt</w:t>
            </w:r>
            <w:r w:rsidRPr="004A2C36">
              <w:t xml:space="preserve">:   </w:t>
            </w:r>
            <w:r>
              <w:tab/>
            </w:r>
            <w:r>
              <w:tab/>
            </w:r>
            <w:r>
              <w:tab/>
            </w:r>
            <w:r>
              <w:tab/>
            </w:r>
            <w:r w:rsidRPr="004A2C36">
              <w:tab/>
            </w:r>
            <w:sdt>
              <w:sdtPr>
                <w:rPr>
                  <w:rFonts w:ascii="MS Gothic" w:eastAsia="MS Gothic" w:hAnsi="MS Gothic"/>
                </w:rPr>
                <w:id w:val="-522482252"/>
                <w14:checkbox>
                  <w14:checked w14:val="0"/>
                  <w14:checkedState w14:val="2612" w14:font="MS Gothic"/>
                  <w14:uncheckedState w14:val="2610" w14:font="MS Gothic"/>
                </w14:checkbox>
              </w:sdtPr>
              <w:sdtEndPr/>
              <w:sdtContent>
                <w:r w:rsidR="00F17CA2">
                  <w:rPr>
                    <w:rFonts w:ascii="MS Gothic" w:eastAsia="MS Gothic" w:hAnsi="MS Gothic" w:hint="eastAsia"/>
                  </w:rPr>
                  <w:t>☐</w:t>
                </w:r>
              </w:sdtContent>
            </w:sdt>
            <w:r>
              <w:t xml:space="preserve"> </w:t>
            </w:r>
            <w:r w:rsidRPr="00B13334">
              <w:rPr>
                <w:iCs/>
              </w:rPr>
              <w:t>ja</w:t>
            </w:r>
          </w:p>
        </w:tc>
      </w:tr>
    </w:tbl>
    <w:p w14:paraId="0ED6E761" w14:textId="77777777" w:rsidR="000666B4" w:rsidRDefault="000666B4">
      <w:r>
        <w:br w:type="page"/>
      </w:r>
    </w:p>
    <w:p w14:paraId="4E5E2299" w14:textId="1644D185" w:rsidR="002A5EEA" w:rsidRDefault="002A5EEA" w:rsidP="00264A14">
      <w:pPr>
        <w:pStyle w:val="berschrift1"/>
      </w:pPr>
      <w:bookmarkStart w:id="94" w:name="_Toc54595590"/>
      <w:r>
        <w:lastRenderedPageBreak/>
        <w:t>Bodenkennzeichnung</w:t>
      </w:r>
      <w:r w:rsidR="00D078DA">
        <w:t xml:space="preserve"> und Schutzabstände</w:t>
      </w:r>
      <w:bookmarkEnd w:id="94"/>
    </w:p>
    <w:p w14:paraId="01AF5336" w14:textId="6A885298" w:rsidR="00D078DA" w:rsidRPr="00C80FCA" w:rsidRDefault="00C80FCA" w:rsidP="00264A14">
      <w:r>
        <w:rPr>
          <w:noProof/>
          <w:lang w:val="de-AT" w:eastAsia="de-AT"/>
        </w:rPr>
        <w:drawing>
          <wp:inline distT="0" distB="0" distL="0" distR="0" wp14:anchorId="4E48B720" wp14:editId="6E6276DF">
            <wp:extent cx="6030595" cy="4356735"/>
            <wp:effectExtent l="0" t="0" r="8255" b="5715"/>
            <wp:docPr id="1" name="Grafik 1" descr="Draufsicht auf Staplerplatz mit Bodenkennzeichen auf einen elektrolytbeständigen Boden. Feuerlöscher und Augenspülflasche sind in der Nähe bereitzustellen. Die Schutzabstände müssen eingehalten werden: keine Zündquellen im Nahbereich von 0,5m, 2,5m Brandschutz und 5m Abstand zu anderen Ex-Bereichen. Der ableitfähige Boden muss 1,25a m kleiner gleich 1x 10 hoch 8 Omega sein." title="Staplerpl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30595" cy="4356735"/>
                    </a:xfrm>
                    <a:prstGeom prst="rect">
                      <a:avLst/>
                    </a:prstGeom>
                  </pic:spPr>
                </pic:pic>
              </a:graphicData>
            </a:graphic>
          </wp:inline>
        </w:drawing>
      </w:r>
    </w:p>
    <w:p w14:paraId="4709C7CD" w14:textId="20D54A29" w:rsidR="002A5EEA" w:rsidRDefault="00D150AA" w:rsidP="001E7A16">
      <w:pPr>
        <w:ind w:left="6381"/>
      </w:pPr>
      <w:r>
        <w:t xml:space="preserve">© </w:t>
      </w:r>
      <w:r w:rsidR="001E7A16">
        <w:t>Holzleitner Günter, AUVA</w:t>
      </w:r>
    </w:p>
    <w:p w14:paraId="099B037A" w14:textId="77777777" w:rsidR="00D150AA" w:rsidRDefault="00D150AA" w:rsidP="00264A14"/>
    <w:p w14:paraId="08C184D6" w14:textId="28129BA7" w:rsidR="00D078DA" w:rsidRDefault="00D078DA" w:rsidP="00004185">
      <w:pPr>
        <w:pStyle w:val="Listenabsatz"/>
        <w:numPr>
          <w:ilvl w:val="0"/>
          <w:numId w:val="7"/>
        </w:numPr>
      </w:pPr>
      <w:r>
        <w:t>„Handbereich“ gemäß ÖVE/ÖNORM E8001-1</w:t>
      </w:r>
    </w:p>
    <w:p w14:paraId="6CEA2E75" w14:textId="77777777" w:rsidR="00D078DA" w:rsidRDefault="00D078DA" w:rsidP="00264A14">
      <w:pPr>
        <w:pStyle w:val="Listenabsatz"/>
      </w:pPr>
    </w:p>
    <w:p w14:paraId="37FA07D4" w14:textId="3959145C" w:rsidR="004A2C36" w:rsidRDefault="00F92EBF" w:rsidP="00264A14">
      <w:sdt>
        <w:sdtPr>
          <w:rPr>
            <w:rFonts w:ascii="MS Gothic" w:eastAsia="MS Gothic" w:hAnsi="MS Gothic"/>
          </w:rPr>
          <w:id w:val="1773355015"/>
          <w14:checkbox>
            <w14:checked w14:val="0"/>
            <w14:checkedState w14:val="2612" w14:font="MS Gothic"/>
            <w14:uncheckedState w14:val="2610" w14:font="MS Gothic"/>
          </w14:checkbox>
        </w:sdtPr>
        <w:sdtEndPr/>
        <w:sdtContent>
          <w:r w:rsidR="00F17CA2">
            <w:rPr>
              <w:rFonts w:ascii="MS Gothic" w:eastAsia="MS Gothic" w:hAnsi="MS Gothic" w:hint="eastAsia"/>
            </w:rPr>
            <w:t>☐</w:t>
          </w:r>
        </w:sdtContent>
      </w:sdt>
      <w:r w:rsidR="00684173">
        <w:t xml:space="preserve"> ist vollständig</w:t>
      </w:r>
    </w:p>
    <w:p w14:paraId="1954A2E6" w14:textId="77777777" w:rsidR="00326856" w:rsidRDefault="00326856" w:rsidP="00264A14">
      <w:pPr>
        <w:pStyle w:val="berschrift1"/>
      </w:pPr>
      <w:bookmarkStart w:id="95" w:name="_Toc54433100"/>
      <w:bookmarkStart w:id="96" w:name="_Toc54440172"/>
      <w:bookmarkStart w:id="97" w:name="_Toc54595591"/>
      <w:r>
        <w:t xml:space="preserve">Kennzeichnung des </w:t>
      </w:r>
      <w:bookmarkEnd w:id="95"/>
      <w:r>
        <w:t>Ladebereiches</w:t>
      </w:r>
      <w:bookmarkEnd w:id="96"/>
      <w:bookmarkEnd w:id="97"/>
    </w:p>
    <w:p w14:paraId="5EFA1B35" w14:textId="44C1FA30" w:rsidR="00326856" w:rsidRDefault="00326856" w:rsidP="0083745D">
      <w:pPr>
        <w:jc w:val="center"/>
      </w:pPr>
      <w:r w:rsidRPr="00B45E2A">
        <w:rPr>
          <w:noProof/>
          <w:lang w:val="de-AT" w:eastAsia="de-AT"/>
        </w:rPr>
        <w:drawing>
          <wp:inline distT="0" distB="0" distL="0" distR="0" wp14:anchorId="3BF2AF4C" wp14:editId="0DE8FA08">
            <wp:extent cx="3943701" cy="2735301"/>
            <wp:effectExtent l="0" t="0" r="0" b="8255"/>
            <wp:docPr id="21" name="Grafik 21" descr="Gebote und Verbote" title="Warnkennz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7674" cy="2744992"/>
                    </a:xfrm>
                    <a:prstGeom prst="rect">
                      <a:avLst/>
                    </a:prstGeom>
                    <a:noFill/>
                    <a:ln>
                      <a:noFill/>
                    </a:ln>
                  </pic:spPr>
                </pic:pic>
              </a:graphicData>
            </a:graphic>
          </wp:inline>
        </w:drawing>
      </w:r>
    </w:p>
    <w:p w14:paraId="2B77BEB8" w14:textId="205713BF" w:rsidR="00326856" w:rsidRDefault="00B13334" w:rsidP="00264A14">
      <w:r w:rsidRPr="00B13334">
        <w:rPr>
          <w:rFonts w:ascii="MS Gothic" w:eastAsia="MS Gothic" w:hAnsi="MS Gothic"/>
        </w:rPr>
        <w:t xml:space="preserve"> </w:t>
      </w:r>
      <w:sdt>
        <w:sdtPr>
          <w:rPr>
            <w:rFonts w:ascii="MS Gothic" w:eastAsia="MS Gothic" w:hAnsi="MS Gothic"/>
          </w:rPr>
          <w:id w:val="15449477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26856">
        <w:t xml:space="preserve"> ist vollständig</w:t>
      </w:r>
      <w:r w:rsidR="00326856">
        <w:br w:type="page"/>
      </w:r>
    </w:p>
    <w:p w14:paraId="1F49F677" w14:textId="77777777" w:rsidR="00E04245" w:rsidRPr="00D048EB" w:rsidRDefault="00E04245" w:rsidP="00264A14">
      <w:pPr>
        <w:pStyle w:val="berschrift1"/>
      </w:pPr>
      <w:bookmarkStart w:id="98" w:name="_Toc38897579"/>
      <w:bookmarkStart w:id="99" w:name="_Toc54433102"/>
      <w:bookmarkStart w:id="100" w:name="_Toc54440174"/>
      <w:bookmarkStart w:id="101" w:name="_Toc54595592"/>
      <w:r w:rsidRPr="00D048EB">
        <w:lastRenderedPageBreak/>
        <w:t>Prüfliste</w:t>
      </w:r>
      <w:r>
        <w:t xml:space="preserve"> §7</w:t>
      </w:r>
      <w:bookmarkEnd w:id="98"/>
      <w:bookmarkEnd w:id="99"/>
      <w:bookmarkEnd w:id="100"/>
      <w:bookmarkEnd w:id="101"/>
      <w:r>
        <w:t xml:space="preserve"> </w:t>
      </w:r>
    </w:p>
    <w:tbl>
      <w:tblPr>
        <w:tblStyle w:val="Tabellenraster"/>
        <w:tblW w:w="0" w:type="auto"/>
        <w:tblLook w:val="04A0" w:firstRow="1" w:lastRow="0" w:firstColumn="1" w:lastColumn="0" w:noHBand="0" w:noVBand="1"/>
      </w:tblPr>
      <w:tblGrid>
        <w:gridCol w:w="697"/>
        <w:gridCol w:w="7"/>
        <w:gridCol w:w="6926"/>
        <w:gridCol w:w="1857"/>
      </w:tblGrid>
      <w:tr w:rsidR="00E04245" w14:paraId="67E82CB1" w14:textId="77777777" w:rsidTr="00150088">
        <w:tc>
          <w:tcPr>
            <w:tcW w:w="704" w:type="dxa"/>
            <w:gridSpan w:val="2"/>
            <w:vAlign w:val="center"/>
          </w:tcPr>
          <w:p w14:paraId="7380E3A2" w14:textId="77777777" w:rsidR="00E04245" w:rsidRDefault="00E04245" w:rsidP="00264A14"/>
        </w:tc>
        <w:tc>
          <w:tcPr>
            <w:tcW w:w="6926" w:type="dxa"/>
            <w:vAlign w:val="center"/>
          </w:tcPr>
          <w:p w14:paraId="32A9A4BB" w14:textId="77777777" w:rsidR="00E04245" w:rsidRDefault="00E04245" w:rsidP="00264A14">
            <w:r>
              <w:t>Prüfpunkte bei der Abnahme</w:t>
            </w:r>
          </w:p>
        </w:tc>
        <w:tc>
          <w:tcPr>
            <w:tcW w:w="1857" w:type="dxa"/>
          </w:tcPr>
          <w:p w14:paraId="31215C8C" w14:textId="77777777" w:rsidR="00E04245" w:rsidRDefault="00E04245" w:rsidP="00264A14"/>
        </w:tc>
      </w:tr>
      <w:tr w:rsidR="00B13334" w14:paraId="471B5E9F" w14:textId="77777777" w:rsidTr="00150088">
        <w:tc>
          <w:tcPr>
            <w:tcW w:w="704" w:type="dxa"/>
            <w:gridSpan w:val="2"/>
            <w:vAlign w:val="center"/>
          </w:tcPr>
          <w:p w14:paraId="5107673A" w14:textId="77777777" w:rsidR="00B13334" w:rsidRDefault="00B13334" w:rsidP="00264A14">
            <w:r>
              <w:t>1</w:t>
            </w:r>
          </w:p>
        </w:tc>
        <w:tc>
          <w:tcPr>
            <w:tcW w:w="6926" w:type="dxa"/>
            <w:vAlign w:val="center"/>
          </w:tcPr>
          <w:p w14:paraId="24100F9D" w14:textId="77777777" w:rsidR="00B13334" w:rsidRDefault="00B13334" w:rsidP="00264A14">
            <w:r>
              <w:t>elektrische Anlagen in explosionsgefährdeten Bereichen auf ihre Explosionssicherheit</w:t>
            </w:r>
          </w:p>
        </w:tc>
        <w:tc>
          <w:tcPr>
            <w:tcW w:w="1857" w:type="dxa"/>
          </w:tcPr>
          <w:p w14:paraId="25F01FE9" w14:textId="77777777" w:rsidR="00B13334" w:rsidRDefault="00B13334" w:rsidP="00264A14">
            <w:r>
              <w:t xml:space="preserve">erfüllt </w:t>
            </w:r>
            <w:sdt>
              <w:sdtPr>
                <w:rPr>
                  <w:rFonts w:ascii="MS Gothic" w:eastAsia="MS Gothic" w:hAnsi="MS Gothic"/>
                </w:rPr>
                <w:id w:val="976882450"/>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0804E52C" w14:textId="77777777" w:rsidR="00B13334" w:rsidRDefault="00B13334" w:rsidP="00264A14">
            <w:r>
              <w:t>Datum:</w:t>
            </w:r>
          </w:p>
          <w:p w14:paraId="3ED86CF3" w14:textId="77777777" w:rsidR="00B13334" w:rsidRDefault="00B13334" w:rsidP="00264A14">
            <w:r>
              <w:t>Unterschrift:</w:t>
            </w:r>
          </w:p>
          <w:p w14:paraId="686D607C" w14:textId="77777777" w:rsidR="00B13334" w:rsidRDefault="00B13334" w:rsidP="00264A14"/>
        </w:tc>
      </w:tr>
      <w:tr w:rsidR="00B13334" w14:paraId="35F0DF24" w14:textId="77777777" w:rsidTr="00150088">
        <w:tc>
          <w:tcPr>
            <w:tcW w:w="704" w:type="dxa"/>
            <w:gridSpan w:val="2"/>
            <w:vAlign w:val="center"/>
          </w:tcPr>
          <w:p w14:paraId="0009D0FC" w14:textId="77777777" w:rsidR="00B13334" w:rsidRDefault="00B13334" w:rsidP="00264A14">
            <w:r>
              <w:t>2</w:t>
            </w:r>
          </w:p>
        </w:tc>
        <w:tc>
          <w:tcPr>
            <w:tcW w:w="6926" w:type="dxa"/>
            <w:vAlign w:val="center"/>
          </w:tcPr>
          <w:p w14:paraId="13A2F126" w14:textId="2E6745AA" w:rsidR="00B13334" w:rsidRDefault="00B13334" w:rsidP="00264A14">
            <w:r>
              <w:t>mechanische Lüftungs- oder Absauganlagen in explosionsgefährdeten Bereichen auf ihre Explosionssicherheit</w:t>
            </w:r>
            <w:r w:rsidR="00EA61AC">
              <w:t>,</w:t>
            </w:r>
            <w:r>
              <w:t xml:space="preserve"> sowie durch Messung der Lüftungs- bzw. Absaugleistung auf ihre Wirksamkeit</w:t>
            </w:r>
          </w:p>
        </w:tc>
        <w:tc>
          <w:tcPr>
            <w:tcW w:w="1857" w:type="dxa"/>
          </w:tcPr>
          <w:p w14:paraId="0FD88750" w14:textId="77777777" w:rsidR="00B13334" w:rsidRDefault="00B13334" w:rsidP="00264A14">
            <w:r>
              <w:t xml:space="preserve">erfüllt </w:t>
            </w:r>
            <w:sdt>
              <w:sdtPr>
                <w:rPr>
                  <w:rFonts w:ascii="MS Gothic" w:eastAsia="MS Gothic" w:hAnsi="MS Gothic"/>
                </w:rPr>
                <w:id w:val="-1374606797"/>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00CBC429" w14:textId="77777777" w:rsidR="00B13334" w:rsidRDefault="00B13334" w:rsidP="00264A14">
            <w:r>
              <w:t>Datum:</w:t>
            </w:r>
          </w:p>
          <w:p w14:paraId="2430FFEF" w14:textId="77777777" w:rsidR="00B13334" w:rsidRDefault="00B13334" w:rsidP="00264A14">
            <w:r>
              <w:t>Unterschrift:</w:t>
            </w:r>
          </w:p>
          <w:p w14:paraId="2630B733" w14:textId="77777777" w:rsidR="00B13334" w:rsidRDefault="00B13334" w:rsidP="00264A14"/>
        </w:tc>
      </w:tr>
      <w:tr w:rsidR="00B13334" w14:paraId="47DB1066" w14:textId="77777777" w:rsidTr="00150088">
        <w:tc>
          <w:tcPr>
            <w:tcW w:w="704" w:type="dxa"/>
            <w:gridSpan w:val="2"/>
            <w:vAlign w:val="center"/>
          </w:tcPr>
          <w:p w14:paraId="74AD4A15" w14:textId="77777777" w:rsidR="00B13334" w:rsidRDefault="00B13334" w:rsidP="00264A14">
            <w:r>
              <w:t>3</w:t>
            </w:r>
          </w:p>
        </w:tc>
        <w:tc>
          <w:tcPr>
            <w:tcW w:w="6926" w:type="dxa"/>
            <w:vAlign w:val="center"/>
          </w:tcPr>
          <w:p w14:paraId="06766C01" w14:textId="77777777" w:rsidR="00B13334" w:rsidRDefault="00B13334" w:rsidP="00264A14">
            <w:r>
              <w:t>Umsetzung des Zonenplans (ob die explosionsgefährdeten Bereiche gemäß Zonenplan realisiert und korrekt gekennzeichnet sind oder durch sonstige technische oder organisatorische Maßnahmen vermieden oder ausreichend begrenzt sind)</w:t>
            </w:r>
          </w:p>
          <w:p w14:paraId="36FFF7F3" w14:textId="45DFCD31" w:rsidR="00B13334" w:rsidRDefault="00B13334" w:rsidP="00264A14">
            <w:r>
              <w:t>Entfällt hier bei Umsetzung der primären Schutzmaßnahmen.</w:t>
            </w:r>
          </w:p>
        </w:tc>
        <w:tc>
          <w:tcPr>
            <w:tcW w:w="1857" w:type="dxa"/>
          </w:tcPr>
          <w:p w14:paraId="06D73FA8" w14:textId="77777777" w:rsidR="00B13334" w:rsidRDefault="00B13334" w:rsidP="00264A14">
            <w:r>
              <w:t xml:space="preserve">erfüllt </w:t>
            </w:r>
            <w:sdt>
              <w:sdtPr>
                <w:rPr>
                  <w:rFonts w:ascii="MS Gothic" w:eastAsia="MS Gothic" w:hAnsi="MS Gothic"/>
                </w:rPr>
                <w:id w:val="1996143961"/>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0AB1C81E" w14:textId="77777777" w:rsidR="00B13334" w:rsidRDefault="00B13334" w:rsidP="00264A14">
            <w:r>
              <w:t>Datum:</w:t>
            </w:r>
          </w:p>
          <w:p w14:paraId="6156EBF1" w14:textId="77777777" w:rsidR="00B13334" w:rsidRDefault="00B13334" w:rsidP="00264A14">
            <w:r>
              <w:t>Unterschrift:</w:t>
            </w:r>
          </w:p>
          <w:p w14:paraId="6DBB5C91" w14:textId="77777777" w:rsidR="00B13334" w:rsidRDefault="00B13334" w:rsidP="00264A14"/>
        </w:tc>
      </w:tr>
      <w:tr w:rsidR="00B13334" w14:paraId="5E1FE816" w14:textId="77777777" w:rsidTr="00150088">
        <w:tc>
          <w:tcPr>
            <w:tcW w:w="704" w:type="dxa"/>
            <w:gridSpan w:val="2"/>
            <w:vAlign w:val="center"/>
          </w:tcPr>
          <w:p w14:paraId="3A10FE49" w14:textId="77777777" w:rsidR="00B13334" w:rsidRDefault="00B13334" w:rsidP="00264A14">
            <w:r>
              <w:t>4</w:t>
            </w:r>
          </w:p>
        </w:tc>
        <w:tc>
          <w:tcPr>
            <w:tcW w:w="6926" w:type="dxa"/>
            <w:vAlign w:val="center"/>
          </w:tcPr>
          <w:p w14:paraId="38F7F935" w14:textId="77777777" w:rsidR="00B13334" w:rsidRDefault="00B13334" w:rsidP="00264A14">
            <w:r>
              <w:t>die Umsetzung der primären, sekundären und konstruktiven Explosionsschutzmaßnahmen einschließlich Maßnahmen und Vorkehrungen für vorhersehbare Störungen gemäß Explosionsschutzdokument;</w:t>
            </w:r>
          </w:p>
        </w:tc>
        <w:tc>
          <w:tcPr>
            <w:tcW w:w="1857" w:type="dxa"/>
          </w:tcPr>
          <w:p w14:paraId="5EA67838" w14:textId="77777777" w:rsidR="00B13334" w:rsidRDefault="00B13334" w:rsidP="00264A14">
            <w:r>
              <w:t xml:space="preserve">erfüllt </w:t>
            </w:r>
            <w:sdt>
              <w:sdtPr>
                <w:rPr>
                  <w:rFonts w:ascii="MS Gothic" w:eastAsia="MS Gothic" w:hAnsi="MS Gothic"/>
                </w:rPr>
                <w:id w:val="-1975823895"/>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335EE1A6" w14:textId="77777777" w:rsidR="00B13334" w:rsidRDefault="00B13334" w:rsidP="00264A14">
            <w:r>
              <w:t>Datum:</w:t>
            </w:r>
          </w:p>
          <w:p w14:paraId="5A0366F5" w14:textId="77777777" w:rsidR="00B13334" w:rsidRDefault="00B13334" w:rsidP="00264A14">
            <w:r>
              <w:t>Unterschrift:</w:t>
            </w:r>
          </w:p>
          <w:p w14:paraId="4ACAB8CA" w14:textId="77777777" w:rsidR="00B13334" w:rsidRDefault="00B13334" w:rsidP="00264A14"/>
        </w:tc>
      </w:tr>
      <w:tr w:rsidR="00B13334" w14:paraId="6144E360" w14:textId="77777777" w:rsidTr="00150088">
        <w:tc>
          <w:tcPr>
            <w:tcW w:w="697" w:type="dxa"/>
            <w:vAlign w:val="center"/>
          </w:tcPr>
          <w:p w14:paraId="09177182" w14:textId="77777777" w:rsidR="00B13334" w:rsidRDefault="00B13334" w:rsidP="00264A14">
            <w:r>
              <w:t>5</w:t>
            </w:r>
          </w:p>
        </w:tc>
        <w:tc>
          <w:tcPr>
            <w:tcW w:w="6933" w:type="dxa"/>
            <w:gridSpan w:val="2"/>
            <w:vAlign w:val="center"/>
          </w:tcPr>
          <w:p w14:paraId="4642C1B1" w14:textId="77777777" w:rsidR="00B13334" w:rsidRDefault="00B13334" w:rsidP="00264A14">
            <w:r>
              <w:t>Räume, in denen sich explosionsgefährdete Bereiche befinden, auf ihre bauliche Ausführung</w:t>
            </w:r>
          </w:p>
          <w:p w14:paraId="392969B6" w14:textId="0070E4CF" w:rsidR="00B13334" w:rsidRDefault="00F92EBF" w:rsidP="00264A14">
            <w:sdt>
              <w:sdtPr>
                <w:rPr>
                  <w:rFonts w:ascii="MS Gothic" w:eastAsia="MS Gothic" w:hAnsi="MS Gothic"/>
                </w:rPr>
                <w:id w:val="-2133851688"/>
                <w14:checkbox>
                  <w14:checked w14:val="0"/>
                  <w14:checkedState w14:val="2612" w14:font="MS Gothic"/>
                  <w14:uncheckedState w14:val="2610" w14:font="MS Gothic"/>
                </w14:checkbox>
              </w:sdtPr>
              <w:sdtEndPr/>
              <w:sdtContent>
                <w:r w:rsidR="00F17CA2">
                  <w:rPr>
                    <w:rFonts w:ascii="MS Gothic" w:eastAsia="MS Gothic" w:hAnsi="MS Gothic" w:hint="eastAsia"/>
                  </w:rPr>
                  <w:t>☐</w:t>
                </w:r>
              </w:sdtContent>
            </w:sdt>
            <w:r w:rsidR="00B13334">
              <w:t xml:space="preserve">  Bodenbeständigkeit gegenüber Elektrolyten</w:t>
            </w:r>
          </w:p>
          <w:p w14:paraId="32BDD8D0" w14:textId="1D43B5F7" w:rsidR="00B13334" w:rsidRDefault="00F92EBF" w:rsidP="00264A14">
            <w:sdt>
              <w:sdtPr>
                <w:rPr>
                  <w:rFonts w:ascii="MS Gothic" w:eastAsia="MS Gothic" w:hAnsi="MS Gothic"/>
                </w:rPr>
                <w:id w:val="-2101556165"/>
                <w14:checkbox>
                  <w14:checked w14:val="0"/>
                  <w14:checkedState w14:val="2612" w14:font="MS Gothic"/>
                  <w14:uncheckedState w14:val="2610" w14:font="MS Gothic"/>
                </w14:checkbox>
              </w:sdtPr>
              <w:sdtEndPr/>
              <w:sdtContent>
                <w:r w:rsidR="00F17CA2">
                  <w:rPr>
                    <w:rFonts w:ascii="MS Gothic" w:eastAsia="MS Gothic" w:hAnsi="MS Gothic" w:hint="eastAsia"/>
                  </w:rPr>
                  <w:t>☐</w:t>
                </w:r>
              </w:sdtContent>
            </w:sdt>
            <w:r w:rsidR="00B13334">
              <w:t xml:space="preserve"> </w:t>
            </w:r>
            <w:r w:rsidR="00EA61AC">
              <w:t xml:space="preserve"> </w:t>
            </w:r>
            <w:r w:rsidR="00B13334">
              <w:t>Ableitfähigkeit des Bodens</w:t>
            </w:r>
          </w:p>
          <w:p w14:paraId="775E624C" w14:textId="12893D3C" w:rsidR="00B13334" w:rsidRDefault="00F92EBF" w:rsidP="00264A14">
            <w:sdt>
              <w:sdtPr>
                <w:rPr>
                  <w:rFonts w:ascii="MS Gothic" w:eastAsia="MS Gothic" w:hAnsi="MS Gothic"/>
                </w:rPr>
                <w:id w:val="171389424"/>
                <w14:checkbox>
                  <w14:checked w14:val="0"/>
                  <w14:checkedState w14:val="2612" w14:font="MS Gothic"/>
                  <w14:uncheckedState w14:val="2610" w14:font="MS Gothic"/>
                </w14:checkbox>
              </w:sdtPr>
              <w:sdtEndPr/>
              <w:sdtContent>
                <w:r w:rsidR="00F17CA2">
                  <w:rPr>
                    <w:rFonts w:ascii="MS Gothic" w:eastAsia="MS Gothic" w:hAnsi="MS Gothic" w:hint="eastAsia"/>
                  </w:rPr>
                  <w:t>☐</w:t>
                </w:r>
              </w:sdtContent>
            </w:sdt>
            <w:r w:rsidR="00B13334">
              <w:t xml:space="preserve">  Kennzeichnung des Abstellplatzes (Bodenmarkierung)</w:t>
            </w:r>
          </w:p>
          <w:p w14:paraId="636A2FB6" w14:textId="20E07745" w:rsidR="00B13334" w:rsidRDefault="00F92EBF" w:rsidP="00264A14">
            <w:sdt>
              <w:sdtPr>
                <w:rPr>
                  <w:rFonts w:ascii="MS Gothic" w:eastAsia="MS Gothic" w:hAnsi="MS Gothic"/>
                </w:rPr>
                <w:id w:val="-2077508423"/>
                <w14:checkbox>
                  <w14:checked w14:val="0"/>
                  <w14:checkedState w14:val="2612" w14:font="MS Gothic"/>
                  <w14:uncheckedState w14:val="2610" w14:font="MS Gothic"/>
                </w14:checkbox>
              </w:sdtPr>
              <w:sdtEndPr/>
              <w:sdtContent>
                <w:r w:rsidR="00F17CA2">
                  <w:rPr>
                    <w:rFonts w:ascii="MS Gothic" w:eastAsia="MS Gothic" w:hAnsi="MS Gothic" w:hint="eastAsia"/>
                  </w:rPr>
                  <w:t>☐</w:t>
                </w:r>
              </w:sdtContent>
            </w:sdt>
            <w:r w:rsidR="00B13334">
              <w:t xml:space="preserve">  Kennzeichnung mit Gefahren-/Gebotsschildern</w:t>
            </w:r>
          </w:p>
        </w:tc>
        <w:tc>
          <w:tcPr>
            <w:tcW w:w="1857" w:type="dxa"/>
          </w:tcPr>
          <w:p w14:paraId="4F91B40C" w14:textId="77777777" w:rsidR="00B13334" w:rsidRDefault="00B13334" w:rsidP="00264A14">
            <w:r>
              <w:t xml:space="preserve">erfüllt </w:t>
            </w:r>
            <w:sdt>
              <w:sdtPr>
                <w:rPr>
                  <w:rFonts w:ascii="MS Gothic" w:eastAsia="MS Gothic" w:hAnsi="MS Gothic"/>
                </w:rPr>
                <w:id w:val="436722157"/>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23B5118B" w14:textId="77777777" w:rsidR="00B13334" w:rsidRDefault="00B13334" w:rsidP="00264A14">
            <w:r>
              <w:t>Datum:</w:t>
            </w:r>
          </w:p>
          <w:p w14:paraId="746ECB86" w14:textId="77777777" w:rsidR="00B13334" w:rsidRDefault="00B13334" w:rsidP="00264A14">
            <w:r>
              <w:t>Unterschrift:</w:t>
            </w:r>
          </w:p>
          <w:p w14:paraId="1410BD8F" w14:textId="77777777" w:rsidR="00B13334" w:rsidRDefault="00B13334" w:rsidP="00264A14"/>
        </w:tc>
      </w:tr>
      <w:tr w:rsidR="00B13334" w14:paraId="5DF05ABD" w14:textId="77777777" w:rsidTr="00150088">
        <w:tc>
          <w:tcPr>
            <w:tcW w:w="704" w:type="dxa"/>
            <w:gridSpan w:val="2"/>
            <w:vAlign w:val="center"/>
          </w:tcPr>
          <w:p w14:paraId="2AD3BE35" w14:textId="77777777" w:rsidR="00B13334" w:rsidRDefault="00B13334" w:rsidP="00264A14">
            <w:r>
              <w:t>6</w:t>
            </w:r>
          </w:p>
        </w:tc>
        <w:tc>
          <w:tcPr>
            <w:tcW w:w="6926" w:type="dxa"/>
            <w:vAlign w:val="center"/>
          </w:tcPr>
          <w:p w14:paraId="14F4323F" w14:textId="77777777" w:rsidR="00B13334" w:rsidRDefault="00B13334" w:rsidP="00264A14">
            <w:r>
              <w:t>Geräte, Schutzsysteme und medizinische elektrische Geräte daraufhin, ob sie für die Zonen, in denen sie verwendet werden sollen, auf Grund ihrer Klassifikation geeignet sind;</w:t>
            </w:r>
          </w:p>
          <w:p w14:paraId="1834B30D" w14:textId="170F8DAE" w:rsidR="00B13334" w:rsidRDefault="00B13334" w:rsidP="00264A14">
            <w:r>
              <w:t>(sofern notwendig)</w:t>
            </w:r>
          </w:p>
        </w:tc>
        <w:tc>
          <w:tcPr>
            <w:tcW w:w="1857" w:type="dxa"/>
          </w:tcPr>
          <w:p w14:paraId="5982BF33" w14:textId="77777777" w:rsidR="00B13334" w:rsidRDefault="00B13334" w:rsidP="00264A14">
            <w:r>
              <w:t xml:space="preserve">erfüllt </w:t>
            </w:r>
            <w:sdt>
              <w:sdtPr>
                <w:rPr>
                  <w:rFonts w:ascii="MS Gothic" w:eastAsia="MS Gothic" w:hAnsi="MS Gothic"/>
                </w:rPr>
                <w:id w:val="1773049985"/>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07EDFA8C" w14:textId="77777777" w:rsidR="00B13334" w:rsidRDefault="00B13334" w:rsidP="00264A14">
            <w:r>
              <w:t>Datum:</w:t>
            </w:r>
          </w:p>
          <w:p w14:paraId="4FB1795E" w14:textId="77777777" w:rsidR="00B13334" w:rsidRDefault="00B13334" w:rsidP="00264A14">
            <w:r>
              <w:t>Unterschrift:</w:t>
            </w:r>
          </w:p>
          <w:p w14:paraId="30A25053" w14:textId="77777777" w:rsidR="00B13334" w:rsidRDefault="00B13334" w:rsidP="00264A14"/>
        </w:tc>
      </w:tr>
      <w:tr w:rsidR="00B13334" w14:paraId="5CA252E0" w14:textId="77777777" w:rsidTr="00150088">
        <w:tc>
          <w:tcPr>
            <w:tcW w:w="704" w:type="dxa"/>
            <w:gridSpan w:val="2"/>
            <w:vAlign w:val="center"/>
          </w:tcPr>
          <w:p w14:paraId="68D5F5A6" w14:textId="77777777" w:rsidR="00B13334" w:rsidRDefault="00B13334" w:rsidP="00264A14">
            <w:r>
              <w:t>7</w:t>
            </w:r>
          </w:p>
        </w:tc>
        <w:tc>
          <w:tcPr>
            <w:tcW w:w="6926" w:type="dxa"/>
            <w:vAlign w:val="center"/>
          </w:tcPr>
          <w:p w14:paraId="733DDE35" w14:textId="77777777" w:rsidR="00B13334" w:rsidRDefault="00B13334" w:rsidP="00264A14">
            <w:r w:rsidRPr="003B7375">
              <w:t xml:space="preserve">sonstige Arbeitsmittel daraufhin, ob sie bestimmungsgemäß für die Verwendung in den entsprechenden explosionsgefährdeten Bereichen geeignet sind </w:t>
            </w:r>
          </w:p>
        </w:tc>
        <w:tc>
          <w:tcPr>
            <w:tcW w:w="1857" w:type="dxa"/>
          </w:tcPr>
          <w:p w14:paraId="6689E0F0" w14:textId="77777777" w:rsidR="00B13334" w:rsidRDefault="00B13334" w:rsidP="00264A14">
            <w:r>
              <w:t xml:space="preserve">erfüllt </w:t>
            </w:r>
            <w:sdt>
              <w:sdtPr>
                <w:rPr>
                  <w:rFonts w:ascii="MS Gothic" w:eastAsia="MS Gothic" w:hAnsi="MS Gothic"/>
                </w:rPr>
                <w:id w:val="-755058171"/>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52875691" w14:textId="77777777" w:rsidR="00B13334" w:rsidRDefault="00B13334" w:rsidP="00264A14">
            <w:r>
              <w:t>Datum:</w:t>
            </w:r>
          </w:p>
          <w:p w14:paraId="2D10CA6D" w14:textId="77777777" w:rsidR="00B13334" w:rsidRDefault="00B13334" w:rsidP="00264A14">
            <w:r>
              <w:t>Unterschrift:</w:t>
            </w:r>
          </w:p>
          <w:p w14:paraId="75BC8760" w14:textId="77777777" w:rsidR="00B13334" w:rsidRDefault="00B13334" w:rsidP="00264A14"/>
        </w:tc>
      </w:tr>
      <w:tr w:rsidR="00B13334" w14:paraId="62012DF5" w14:textId="77777777" w:rsidTr="00150088">
        <w:tc>
          <w:tcPr>
            <w:tcW w:w="704" w:type="dxa"/>
            <w:gridSpan w:val="2"/>
            <w:vAlign w:val="center"/>
          </w:tcPr>
          <w:p w14:paraId="5A5255E2" w14:textId="77777777" w:rsidR="00B13334" w:rsidRDefault="00B13334" w:rsidP="00264A14">
            <w:r>
              <w:t>8</w:t>
            </w:r>
          </w:p>
        </w:tc>
        <w:tc>
          <w:tcPr>
            <w:tcW w:w="6926" w:type="dxa"/>
            <w:vAlign w:val="center"/>
          </w:tcPr>
          <w:p w14:paraId="23B59845" w14:textId="77777777" w:rsidR="00B13334" w:rsidRDefault="00B13334" w:rsidP="00264A14">
            <w:r>
              <w:t>Sicherheits-, Kontroll- und Regeleinrichtungen, die sich außerhalb der explosionsgefährdeten Bereiche befinden, daraufhin, ob sie das ordnungsgemäße Funktionieren der Arbeitsmittel gewährleisten;</w:t>
            </w:r>
          </w:p>
        </w:tc>
        <w:tc>
          <w:tcPr>
            <w:tcW w:w="1857" w:type="dxa"/>
          </w:tcPr>
          <w:p w14:paraId="78327197" w14:textId="77777777" w:rsidR="00B13334" w:rsidRDefault="00B13334" w:rsidP="00264A14">
            <w:r>
              <w:t xml:space="preserve">erfüllt </w:t>
            </w:r>
            <w:sdt>
              <w:sdtPr>
                <w:rPr>
                  <w:rFonts w:ascii="MS Gothic" w:eastAsia="MS Gothic" w:hAnsi="MS Gothic"/>
                </w:rPr>
                <w:id w:val="-468892746"/>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423C9E53" w14:textId="77777777" w:rsidR="00B13334" w:rsidRDefault="00B13334" w:rsidP="00264A14">
            <w:r>
              <w:t>Datum:</w:t>
            </w:r>
          </w:p>
          <w:p w14:paraId="2A92A25B" w14:textId="77777777" w:rsidR="00B13334" w:rsidRDefault="00B13334" w:rsidP="00264A14">
            <w:r>
              <w:t>Unterschrift:</w:t>
            </w:r>
          </w:p>
          <w:p w14:paraId="4B179021" w14:textId="77777777" w:rsidR="00B13334" w:rsidRDefault="00B13334" w:rsidP="00264A14"/>
        </w:tc>
      </w:tr>
      <w:tr w:rsidR="00B13334" w14:paraId="0E6F5931" w14:textId="77777777" w:rsidTr="00150088">
        <w:tc>
          <w:tcPr>
            <w:tcW w:w="704" w:type="dxa"/>
            <w:gridSpan w:val="2"/>
            <w:vAlign w:val="center"/>
          </w:tcPr>
          <w:p w14:paraId="624D0664" w14:textId="77777777" w:rsidR="00B13334" w:rsidRDefault="00B13334" w:rsidP="00264A14">
            <w:r>
              <w:t>9</w:t>
            </w:r>
          </w:p>
        </w:tc>
        <w:tc>
          <w:tcPr>
            <w:tcW w:w="6926" w:type="dxa"/>
            <w:vAlign w:val="center"/>
          </w:tcPr>
          <w:p w14:paraId="3FFB03DE" w14:textId="77777777" w:rsidR="00B13334" w:rsidRDefault="00B13334" w:rsidP="00264A14">
            <w:r w:rsidRPr="003B7375">
              <w:t>diverse Verbindungseinrichtungen daraufhin, ob sie eine Explosionsgefahr darstellen können, wobei auch die Gefahr des Vertauschens zu berücksichtigen ist;</w:t>
            </w:r>
          </w:p>
        </w:tc>
        <w:tc>
          <w:tcPr>
            <w:tcW w:w="1857" w:type="dxa"/>
          </w:tcPr>
          <w:p w14:paraId="566B4C7B" w14:textId="77777777" w:rsidR="00B13334" w:rsidRDefault="00B13334" w:rsidP="00264A14">
            <w:r>
              <w:t xml:space="preserve">erfüllt </w:t>
            </w:r>
            <w:sdt>
              <w:sdtPr>
                <w:rPr>
                  <w:rFonts w:ascii="MS Gothic" w:eastAsia="MS Gothic" w:hAnsi="MS Gothic"/>
                </w:rPr>
                <w:id w:val="-1434661807"/>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6D61F933" w14:textId="77777777" w:rsidR="00B13334" w:rsidRDefault="00B13334" w:rsidP="00264A14">
            <w:r>
              <w:t>Datum:</w:t>
            </w:r>
          </w:p>
          <w:p w14:paraId="62A216A8" w14:textId="77777777" w:rsidR="00B13334" w:rsidRDefault="00B13334" w:rsidP="00264A14">
            <w:r>
              <w:t>Unterschrift:</w:t>
            </w:r>
          </w:p>
          <w:p w14:paraId="634CA553" w14:textId="77777777" w:rsidR="00B13334" w:rsidRDefault="00B13334" w:rsidP="00264A14"/>
        </w:tc>
      </w:tr>
      <w:tr w:rsidR="00B13334" w14:paraId="32F19E41" w14:textId="77777777" w:rsidTr="00150088">
        <w:tc>
          <w:tcPr>
            <w:tcW w:w="704" w:type="dxa"/>
            <w:gridSpan w:val="2"/>
            <w:vAlign w:val="center"/>
          </w:tcPr>
          <w:p w14:paraId="60BD5FD3" w14:textId="77777777" w:rsidR="00B13334" w:rsidRDefault="00B13334" w:rsidP="00264A14">
            <w:r>
              <w:t>10</w:t>
            </w:r>
          </w:p>
        </w:tc>
        <w:tc>
          <w:tcPr>
            <w:tcW w:w="6926" w:type="dxa"/>
            <w:vAlign w:val="center"/>
          </w:tcPr>
          <w:p w14:paraId="5C12163D" w14:textId="2210308B" w:rsidR="00B13334" w:rsidRDefault="00B13334" w:rsidP="00264A14">
            <w:r w:rsidRPr="003B7375">
              <w:t xml:space="preserve">Arbeitskleidung (einschließlich der Arbeitsschuhe) und persönliche Schutzausrüstung daraufhin, ob sie bestimmungsgemäß für die Verwendung in den entsprechenden explosionsgefährdeten Bereichen geeignet sind </w:t>
            </w:r>
          </w:p>
        </w:tc>
        <w:tc>
          <w:tcPr>
            <w:tcW w:w="1857" w:type="dxa"/>
          </w:tcPr>
          <w:p w14:paraId="7F4C120E" w14:textId="77777777" w:rsidR="00B13334" w:rsidRDefault="00B13334" w:rsidP="00264A14">
            <w:r>
              <w:t xml:space="preserve">erfüllt </w:t>
            </w:r>
            <w:sdt>
              <w:sdtPr>
                <w:rPr>
                  <w:rFonts w:ascii="MS Gothic" w:eastAsia="MS Gothic" w:hAnsi="MS Gothic"/>
                </w:rPr>
                <w:id w:val="-1245945722"/>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245D99ED" w14:textId="77777777" w:rsidR="00B13334" w:rsidRDefault="00B13334" w:rsidP="00264A14">
            <w:r>
              <w:t>Datum:</w:t>
            </w:r>
          </w:p>
          <w:p w14:paraId="35E6CFDF" w14:textId="77777777" w:rsidR="00B13334" w:rsidRDefault="00B13334" w:rsidP="00264A14">
            <w:r>
              <w:t>Unterschrift:</w:t>
            </w:r>
          </w:p>
          <w:p w14:paraId="443EA94C" w14:textId="77777777" w:rsidR="00B13334" w:rsidRDefault="00B13334" w:rsidP="00264A14"/>
        </w:tc>
      </w:tr>
      <w:tr w:rsidR="00B13334" w14:paraId="58970183" w14:textId="77777777" w:rsidTr="00150088">
        <w:tc>
          <w:tcPr>
            <w:tcW w:w="704" w:type="dxa"/>
            <w:gridSpan w:val="2"/>
            <w:vAlign w:val="center"/>
          </w:tcPr>
          <w:p w14:paraId="7A50EEB0" w14:textId="77777777" w:rsidR="00B13334" w:rsidRDefault="00B13334" w:rsidP="00264A14">
            <w:r>
              <w:t>11</w:t>
            </w:r>
          </w:p>
        </w:tc>
        <w:tc>
          <w:tcPr>
            <w:tcW w:w="6926" w:type="dxa"/>
            <w:vAlign w:val="center"/>
          </w:tcPr>
          <w:p w14:paraId="7C369736" w14:textId="77777777" w:rsidR="00B13334" w:rsidRDefault="00B13334" w:rsidP="00264A14">
            <w:r>
              <w:t>Unterweisung und Information der Mitarbeiter durchgeführt</w:t>
            </w:r>
          </w:p>
          <w:p w14:paraId="0DE1D64B" w14:textId="52BC6F8C" w:rsidR="00B13334" w:rsidRDefault="00B13334" w:rsidP="00264A14">
            <w:r>
              <w:t>Arbeitsfreigabesystem wurde eingeführt</w:t>
            </w:r>
          </w:p>
        </w:tc>
        <w:tc>
          <w:tcPr>
            <w:tcW w:w="1857" w:type="dxa"/>
          </w:tcPr>
          <w:p w14:paraId="72C16F62" w14:textId="77777777" w:rsidR="00B13334" w:rsidRDefault="00B13334" w:rsidP="00264A14">
            <w:r>
              <w:t xml:space="preserve">erfüllt </w:t>
            </w:r>
            <w:sdt>
              <w:sdtPr>
                <w:rPr>
                  <w:rFonts w:ascii="MS Gothic" w:eastAsia="MS Gothic" w:hAnsi="MS Gothic"/>
                </w:rPr>
                <w:id w:val="906187250"/>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r>
              <w:t xml:space="preserve"> </w:t>
            </w:r>
          </w:p>
          <w:p w14:paraId="01DAE67C" w14:textId="77777777" w:rsidR="00B13334" w:rsidRDefault="00B13334" w:rsidP="00264A14">
            <w:r>
              <w:t>Datum:</w:t>
            </w:r>
          </w:p>
          <w:p w14:paraId="45C8DB78" w14:textId="77777777" w:rsidR="00B13334" w:rsidRDefault="00B13334" w:rsidP="00264A14">
            <w:r>
              <w:t>Unterschrift:</w:t>
            </w:r>
          </w:p>
          <w:p w14:paraId="19EA9D08" w14:textId="77777777" w:rsidR="00B13334" w:rsidRDefault="00B13334" w:rsidP="00264A14"/>
        </w:tc>
      </w:tr>
    </w:tbl>
    <w:p w14:paraId="000E4997" w14:textId="77777777" w:rsidR="00E04245" w:rsidRDefault="00E04245" w:rsidP="00264A14">
      <w:pPr>
        <w:pStyle w:val="berschrift1"/>
      </w:pPr>
      <w:bookmarkStart w:id="102" w:name="_Toc54433103"/>
      <w:bookmarkStart w:id="103" w:name="_Toc54440175"/>
      <w:bookmarkStart w:id="104" w:name="_Toc54595593"/>
      <w:r>
        <w:lastRenderedPageBreak/>
        <w:t>Festgestellte Mängel</w:t>
      </w:r>
      <w:bookmarkEnd w:id="102"/>
      <w:bookmarkEnd w:id="103"/>
      <w:bookmarkEnd w:id="104"/>
    </w:p>
    <w:tbl>
      <w:tblPr>
        <w:tblStyle w:val="Tabellenraster"/>
        <w:tblW w:w="0" w:type="auto"/>
        <w:tblLook w:val="04A0" w:firstRow="1" w:lastRow="0" w:firstColumn="1" w:lastColumn="0" w:noHBand="0" w:noVBand="1"/>
      </w:tblPr>
      <w:tblGrid>
        <w:gridCol w:w="1113"/>
        <w:gridCol w:w="6031"/>
        <w:gridCol w:w="2252"/>
      </w:tblGrid>
      <w:tr w:rsidR="00437F42" w14:paraId="3AFAA97B" w14:textId="77777777" w:rsidTr="00437F42">
        <w:tc>
          <w:tcPr>
            <w:tcW w:w="1113" w:type="dxa"/>
          </w:tcPr>
          <w:p w14:paraId="58F54DA1" w14:textId="77777777" w:rsidR="00437F42" w:rsidRDefault="00437F42" w:rsidP="00264A14"/>
        </w:tc>
        <w:tc>
          <w:tcPr>
            <w:tcW w:w="6031" w:type="dxa"/>
            <w:vAlign w:val="center"/>
          </w:tcPr>
          <w:p w14:paraId="55AFFB92" w14:textId="77777777" w:rsidR="00437F42" w:rsidRDefault="00437F42" w:rsidP="00264A14"/>
        </w:tc>
        <w:tc>
          <w:tcPr>
            <w:tcW w:w="2252" w:type="dxa"/>
          </w:tcPr>
          <w:p w14:paraId="5B52E0F6" w14:textId="77777777" w:rsidR="00437F42" w:rsidRDefault="00437F42" w:rsidP="00264A14">
            <w:r>
              <w:t>behoben</w:t>
            </w:r>
            <w:r>
              <w:tab/>
            </w:r>
            <w:sdt>
              <w:sdtPr>
                <w:rPr>
                  <w:rFonts w:ascii="MS Gothic" w:eastAsia="MS Gothic" w:hAnsi="MS Gothic"/>
                </w:rPr>
                <w:id w:val="1703981027"/>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p>
          <w:p w14:paraId="158D1DCE" w14:textId="77777777" w:rsidR="00437F42" w:rsidRDefault="00437F42" w:rsidP="00264A14">
            <w:r>
              <w:t>Datum:</w:t>
            </w:r>
          </w:p>
          <w:p w14:paraId="61BD128B" w14:textId="77777777" w:rsidR="00437F42" w:rsidRDefault="00437F42" w:rsidP="00264A14">
            <w:r>
              <w:t>Unterschrift:</w:t>
            </w:r>
          </w:p>
          <w:p w14:paraId="2D7D4CDE" w14:textId="77777777" w:rsidR="00437F42" w:rsidRDefault="00437F42" w:rsidP="00264A14"/>
        </w:tc>
      </w:tr>
      <w:tr w:rsidR="00437F42" w14:paraId="481A2F69" w14:textId="77777777" w:rsidTr="00437F42">
        <w:tc>
          <w:tcPr>
            <w:tcW w:w="1113" w:type="dxa"/>
          </w:tcPr>
          <w:p w14:paraId="3D449C71" w14:textId="77777777" w:rsidR="00437F42" w:rsidRDefault="00437F42" w:rsidP="00264A14"/>
        </w:tc>
        <w:tc>
          <w:tcPr>
            <w:tcW w:w="6031" w:type="dxa"/>
            <w:vAlign w:val="center"/>
          </w:tcPr>
          <w:p w14:paraId="0C325CD7" w14:textId="77777777" w:rsidR="00437F42" w:rsidRDefault="00437F42" w:rsidP="00264A14"/>
        </w:tc>
        <w:tc>
          <w:tcPr>
            <w:tcW w:w="2252" w:type="dxa"/>
          </w:tcPr>
          <w:p w14:paraId="03206A05" w14:textId="77777777" w:rsidR="00437F42" w:rsidRDefault="00437F42" w:rsidP="00264A14">
            <w:r>
              <w:t>behoben</w:t>
            </w:r>
            <w:r>
              <w:tab/>
            </w:r>
            <w:sdt>
              <w:sdtPr>
                <w:rPr>
                  <w:rFonts w:ascii="MS Gothic" w:eastAsia="MS Gothic" w:hAnsi="MS Gothic"/>
                </w:rPr>
                <w:id w:val="-1283876894"/>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p>
          <w:p w14:paraId="0D8FE0FD" w14:textId="77777777" w:rsidR="00437F42" w:rsidRDefault="00437F42" w:rsidP="00264A14">
            <w:r>
              <w:t>Datum:</w:t>
            </w:r>
          </w:p>
          <w:p w14:paraId="63B712F7" w14:textId="77777777" w:rsidR="00437F42" w:rsidRDefault="00437F42" w:rsidP="00264A14">
            <w:r>
              <w:t>Unterschrift:</w:t>
            </w:r>
          </w:p>
          <w:p w14:paraId="015F8266" w14:textId="77777777" w:rsidR="00437F42" w:rsidRDefault="00437F42" w:rsidP="00264A14"/>
        </w:tc>
      </w:tr>
      <w:tr w:rsidR="00437F42" w14:paraId="51376F8D" w14:textId="77777777" w:rsidTr="00437F42">
        <w:tc>
          <w:tcPr>
            <w:tcW w:w="1113" w:type="dxa"/>
          </w:tcPr>
          <w:p w14:paraId="2F99BD5E" w14:textId="77777777" w:rsidR="00437F42" w:rsidRDefault="00437F42" w:rsidP="00264A14"/>
        </w:tc>
        <w:tc>
          <w:tcPr>
            <w:tcW w:w="6031" w:type="dxa"/>
            <w:vAlign w:val="center"/>
          </w:tcPr>
          <w:p w14:paraId="38028582" w14:textId="77777777" w:rsidR="00437F42" w:rsidRDefault="00437F42" w:rsidP="00264A14"/>
        </w:tc>
        <w:tc>
          <w:tcPr>
            <w:tcW w:w="2252" w:type="dxa"/>
          </w:tcPr>
          <w:p w14:paraId="53C89535" w14:textId="77777777" w:rsidR="00437F42" w:rsidRDefault="00437F42" w:rsidP="00264A14">
            <w:r>
              <w:t>behoben</w:t>
            </w:r>
            <w:r>
              <w:tab/>
            </w:r>
            <w:sdt>
              <w:sdtPr>
                <w:rPr>
                  <w:rFonts w:ascii="MS Gothic" w:eastAsia="MS Gothic" w:hAnsi="MS Gothic"/>
                </w:rPr>
                <w:id w:val="91444769"/>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p>
          <w:p w14:paraId="5110E8F2" w14:textId="77777777" w:rsidR="00437F42" w:rsidRDefault="00437F42" w:rsidP="00264A14">
            <w:r>
              <w:t>Datum:</w:t>
            </w:r>
          </w:p>
          <w:p w14:paraId="10C56BD3" w14:textId="77777777" w:rsidR="00437F42" w:rsidRDefault="00437F42" w:rsidP="00264A14">
            <w:r>
              <w:t>Unterschrift:</w:t>
            </w:r>
          </w:p>
          <w:p w14:paraId="00C64450" w14:textId="77777777" w:rsidR="00437F42" w:rsidRDefault="00437F42" w:rsidP="00264A14"/>
        </w:tc>
      </w:tr>
      <w:tr w:rsidR="00437F42" w14:paraId="47E6B500" w14:textId="77777777" w:rsidTr="00437F42">
        <w:tc>
          <w:tcPr>
            <w:tcW w:w="1113" w:type="dxa"/>
          </w:tcPr>
          <w:p w14:paraId="56BF60CB" w14:textId="77777777" w:rsidR="00437F42" w:rsidRDefault="00437F42" w:rsidP="00264A14"/>
        </w:tc>
        <w:tc>
          <w:tcPr>
            <w:tcW w:w="6031" w:type="dxa"/>
            <w:vAlign w:val="center"/>
          </w:tcPr>
          <w:p w14:paraId="06F1389F" w14:textId="77777777" w:rsidR="00437F42" w:rsidRDefault="00437F42" w:rsidP="00264A14"/>
        </w:tc>
        <w:tc>
          <w:tcPr>
            <w:tcW w:w="2252" w:type="dxa"/>
          </w:tcPr>
          <w:p w14:paraId="6F15DC50" w14:textId="77777777" w:rsidR="00437F42" w:rsidRDefault="00437F42" w:rsidP="00264A14">
            <w:r>
              <w:t>behoben</w:t>
            </w:r>
            <w:r>
              <w:tab/>
            </w:r>
            <w:sdt>
              <w:sdtPr>
                <w:rPr>
                  <w:rFonts w:ascii="MS Gothic" w:eastAsia="MS Gothic" w:hAnsi="MS Gothic"/>
                </w:rPr>
                <w:id w:val="-1344088833"/>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p>
          <w:p w14:paraId="34B1DDE0" w14:textId="77777777" w:rsidR="00437F42" w:rsidRDefault="00437F42" w:rsidP="00264A14">
            <w:r>
              <w:t>Datum:</w:t>
            </w:r>
          </w:p>
          <w:p w14:paraId="2699BB1C" w14:textId="77777777" w:rsidR="00437F42" w:rsidRDefault="00437F42" w:rsidP="00264A14">
            <w:r>
              <w:t>Unterschrift:</w:t>
            </w:r>
          </w:p>
          <w:p w14:paraId="72ABE7C0" w14:textId="77777777" w:rsidR="00437F42" w:rsidRDefault="00437F42" w:rsidP="00264A14"/>
        </w:tc>
      </w:tr>
      <w:tr w:rsidR="00437F42" w14:paraId="4EDB376C" w14:textId="77777777" w:rsidTr="00437F42">
        <w:tc>
          <w:tcPr>
            <w:tcW w:w="1113" w:type="dxa"/>
          </w:tcPr>
          <w:p w14:paraId="78BA8B67" w14:textId="77777777" w:rsidR="00437F42" w:rsidRDefault="00437F42" w:rsidP="00264A14"/>
        </w:tc>
        <w:tc>
          <w:tcPr>
            <w:tcW w:w="6031" w:type="dxa"/>
            <w:vAlign w:val="center"/>
          </w:tcPr>
          <w:p w14:paraId="2782D66C" w14:textId="77777777" w:rsidR="00437F42" w:rsidRDefault="00437F42" w:rsidP="00264A14"/>
        </w:tc>
        <w:tc>
          <w:tcPr>
            <w:tcW w:w="2252" w:type="dxa"/>
          </w:tcPr>
          <w:p w14:paraId="6168A534" w14:textId="77777777" w:rsidR="00437F42" w:rsidRDefault="00437F42" w:rsidP="00264A14">
            <w:r>
              <w:t>behoben</w:t>
            </w:r>
            <w:r>
              <w:tab/>
            </w:r>
            <w:sdt>
              <w:sdtPr>
                <w:rPr>
                  <w:rFonts w:ascii="MS Gothic" w:eastAsia="MS Gothic" w:hAnsi="MS Gothic"/>
                </w:rPr>
                <w:id w:val="-1888331014"/>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p>
          <w:p w14:paraId="0696B009" w14:textId="77777777" w:rsidR="00437F42" w:rsidRDefault="00437F42" w:rsidP="00264A14">
            <w:r>
              <w:t>Datum:</w:t>
            </w:r>
          </w:p>
          <w:p w14:paraId="5DEBEB36" w14:textId="77777777" w:rsidR="00437F42" w:rsidRDefault="00437F42" w:rsidP="00264A14">
            <w:r>
              <w:t>Unterschrift:</w:t>
            </w:r>
          </w:p>
          <w:p w14:paraId="3EAB5B52" w14:textId="77777777" w:rsidR="00437F42" w:rsidRDefault="00437F42" w:rsidP="00264A14"/>
        </w:tc>
      </w:tr>
      <w:tr w:rsidR="00437F42" w14:paraId="53F63EB1" w14:textId="77777777" w:rsidTr="00437F42">
        <w:tc>
          <w:tcPr>
            <w:tcW w:w="1113" w:type="dxa"/>
          </w:tcPr>
          <w:p w14:paraId="4AEA13E2" w14:textId="77777777" w:rsidR="00437F42" w:rsidRDefault="00437F42" w:rsidP="00264A14"/>
        </w:tc>
        <w:tc>
          <w:tcPr>
            <w:tcW w:w="6031" w:type="dxa"/>
            <w:vAlign w:val="center"/>
          </w:tcPr>
          <w:p w14:paraId="1109A34A" w14:textId="77777777" w:rsidR="00437F42" w:rsidRDefault="00437F42" w:rsidP="00264A14"/>
        </w:tc>
        <w:tc>
          <w:tcPr>
            <w:tcW w:w="2252" w:type="dxa"/>
          </w:tcPr>
          <w:p w14:paraId="39CA0DB9" w14:textId="77777777" w:rsidR="00437F42" w:rsidRDefault="00437F42" w:rsidP="00264A14">
            <w:r>
              <w:t>behoben</w:t>
            </w:r>
            <w:r>
              <w:tab/>
            </w:r>
            <w:sdt>
              <w:sdtPr>
                <w:rPr>
                  <w:rFonts w:ascii="MS Gothic" w:eastAsia="MS Gothic" w:hAnsi="MS Gothic"/>
                </w:rPr>
                <w:id w:val="-1682808090"/>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p>
          <w:p w14:paraId="177D42C2" w14:textId="77777777" w:rsidR="00437F42" w:rsidRDefault="00437F42" w:rsidP="00264A14">
            <w:r>
              <w:t>Datum:</w:t>
            </w:r>
          </w:p>
          <w:p w14:paraId="3B76CA11" w14:textId="77777777" w:rsidR="00437F42" w:rsidRDefault="00437F42" w:rsidP="00264A14">
            <w:r>
              <w:t>Unterschrift:</w:t>
            </w:r>
          </w:p>
          <w:p w14:paraId="5732D3DA" w14:textId="77777777" w:rsidR="00437F42" w:rsidRDefault="00437F42" w:rsidP="00264A14"/>
        </w:tc>
      </w:tr>
      <w:tr w:rsidR="00437F42" w14:paraId="2C77C300" w14:textId="77777777" w:rsidTr="00437F42">
        <w:tc>
          <w:tcPr>
            <w:tcW w:w="1113" w:type="dxa"/>
          </w:tcPr>
          <w:p w14:paraId="28CFE6BE" w14:textId="77777777" w:rsidR="00437F42" w:rsidRDefault="00437F42" w:rsidP="00264A14"/>
        </w:tc>
        <w:tc>
          <w:tcPr>
            <w:tcW w:w="6031" w:type="dxa"/>
            <w:vAlign w:val="center"/>
          </w:tcPr>
          <w:p w14:paraId="4AD3C3B7" w14:textId="77777777" w:rsidR="00437F42" w:rsidRDefault="00437F42" w:rsidP="00264A14"/>
        </w:tc>
        <w:tc>
          <w:tcPr>
            <w:tcW w:w="2252" w:type="dxa"/>
          </w:tcPr>
          <w:p w14:paraId="39082244" w14:textId="77777777" w:rsidR="00437F42" w:rsidRDefault="00437F42" w:rsidP="00264A14">
            <w:r>
              <w:t>behoben</w:t>
            </w:r>
            <w:r>
              <w:tab/>
            </w:r>
            <w:sdt>
              <w:sdtPr>
                <w:rPr>
                  <w:rFonts w:ascii="MS Gothic" w:eastAsia="MS Gothic" w:hAnsi="MS Gothic"/>
                </w:rPr>
                <w:id w:val="-1591083150"/>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p>
          <w:p w14:paraId="08175BEE" w14:textId="77777777" w:rsidR="00437F42" w:rsidRDefault="00437F42" w:rsidP="00264A14">
            <w:r>
              <w:t>Datum:</w:t>
            </w:r>
          </w:p>
          <w:p w14:paraId="032E690B" w14:textId="77777777" w:rsidR="00437F42" w:rsidRDefault="00437F42" w:rsidP="00264A14">
            <w:r>
              <w:t>Unterschrift:</w:t>
            </w:r>
          </w:p>
          <w:p w14:paraId="26808B96" w14:textId="77777777" w:rsidR="00437F42" w:rsidRDefault="00437F42" w:rsidP="00264A14"/>
        </w:tc>
      </w:tr>
      <w:tr w:rsidR="00437F42" w14:paraId="7004F80F" w14:textId="77777777" w:rsidTr="00437F42">
        <w:tc>
          <w:tcPr>
            <w:tcW w:w="1113" w:type="dxa"/>
          </w:tcPr>
          <w:p w14:paraId="0980A8C0" w14:textId="77777777" w:rsidR="00437F42" w:rsidRDefault="00437F42" w:rsidP="00264A14"/>
        </w:tc>
        <w:tc>
          <w:tcPr>
            <w:tcW w:w="6031" w:type="dxa"/>
            <w:vAlign w:val="center"/>
          </w:tcPr>
          <w:p w14:paraId="27D687BF" w14:textId="77777777" w:rsidR="00437F42" w:rsidRDefault="00437F42" w:rsidP="00264A14"/>
        </w:tc>
        <w:tc>
          <w:tcPr>
            <w:tcW w:w="2252" w:type="dxa"/>
          </w:tcPr>
          <w:p w14:paraId="6C22747D" w14:textId="77777777" w:rsidR="00437F42" w:rsidRDefault="00437F42" w:rsidP="00264A14">
            <w:r>
              <w:t>behoben</w:t>
            </w:r>
            <w:r>
              <w:tab/>
            </w:r>
            <w:sdt>
              <w:sdtPr>
                <w:rPr>
                  <w:rFonts w:ascii="MS Gothic" w:eastAsia="MS Gothic" w:hAnsi="MS Gothic"/>
                </w:rPr>
                <w:id w:val="1837646605"/>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p>
          <w:p w14:paraId="00DBD1E8" w14:textId="77777777" w:rsidR="00437F42" w:rsidRDefault="00437F42" w:rsidP="00264A14">
            <w:r>
              <w:t>Datum:</w:t>
            </w:r>
          </w:p>
          <w:p w14:paraId="0C105361" w14:textId="77777777" w:rsidR="00437F42" w:rsidRDefault="00437F42" w:rsidP="00264A14">
            <w:r>
              <w:t>Unterschrift:</w:t>
            </w:r>
          </w:p>
          <w:p w14:paraId="695B5627" w14:textId="77777777" w:rsidR="00437F42" w:rsidRDefault="00437F42" w:rsidP="00264A14"/>
        </w:tc>
      </w:tr>
      <w:tr w:rsidR="00437F42" w14:paraId="6607F8E1" w14:textId="77777777" w:rsidTr="00437F42">
        <w:tc>
          <w:tcPr>
            <w:tcW w:w="1113" w:type="dxa"/>
          </w:tcPr>
          <w:p w14:paraId="09AD5089" w14:textId="77777777" w:rsidR="00437F42" w:rsidRDefault="00437F42" w:rsidP="00264A14"/>
        </w:tc>
        <w:tc>
          <w:tcPr>
            <w:tcW w:w="6031" w:type="dxa"/>
            <w:vAlign w:val="center"/>
          </w:tcPr>
          <w:p w14:paraId="58F75FA0" w14:textId="77777777" w:rsidR="00437F42" w:rsidRDefault="00437F42" w:rsidP="00264A14"/>
        </w:tc>
        <w:tc>
          <w:tcPr>
            <w:tcW w:w="2252" w:type="dxa"/>
          </w:tcPr>
          <w:p w14:paraId="251C5E62" w14:textId="77777777" w:rsidR="00437F42" w:rsidRDefault="00437F42" w:rsidP="00264A14">
            <w:r>
              <w:t>behoben</w:t>
            </w:r>
            <w:r>
              <w:tab/>
            </w:r>
            <w:sdt>
              <w:sdtPr>
                <w:rPr>
                  <w:rFonts w:ascii="MS Gothic" w:eastAsia="MS Gothic" w:hAnsi="MS Gothic"/>
                </w:rPr>
                <w:id w:val="-232158708"/>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p>
          <w:p w14:paraId="4C5DA699" w14:textId="77777777" w:rsidR="00437F42" w:rsidRDefault="00437F42" w:rsidP="00264A14">
            <w:r>
              <w:t>Datum:</w:t>
            </w:r>
          </w:p>
          <w:p w14:paraId="3FCD22FC" w14:textId="77777777" w:rsidR="00437F42" w:rsidRDefault="00437F42" w:rsidP="00264A14">
            <w:r>
              <w:t>Unterschrift:</w:t>
            </w:r>
          </w:p>
          <w:p w14:paraId="3BC3EA80" w14:textId="77777777" w:rsidR="00437F42" w:rsidRDefault="00437F42" w:rsidP="00264A14"/>
        </w:tc>
      </w:tr>
      <w:tr w:rsidR="00437F42" w14:paraId="0051CCBE" w14:textId="77777777" w:rsidTr="00437F42">
        <w:tc>
          <w:tcPr>
            <w:tcW w:w="1113" w:type="dxa"/>
          </w:tcPr>
          <w:p w14:paraId="5AE3BB69" w14:textId="77777777" w:rsidR="00437F42" w:rsidRDefault="00437F42" w:rsidP="00264A14"/>
        </w:tc>
        <w:tc>
          <w:tcPr>
            <w:tcW w:w="6031" w:type="dxa"/>
            <w:vAlign w:val="center"/>
          </w:tcPr>
          <w:p w14:paraId="6D9985A8" w14:textId="77777777" w:rsidR="00437F42" w:rsidRDefault="00437F42" w:rsidP="00264A14"/>
        </w:tc>
        <w:tc>
          <w:tcPr>
            <w:tcW w:w="2252" w:type="dxa"/>
          </w:tcPr>
          <w:p w14:paraId="35A9680E" w14:textId="77777777" w:rsidR="00437F42" w:rsidRDefault="00437F42" w:rsidP="00264A14">
            <w:r>
              <w:t>behoben</w:t>
            </w:r>
            <w:r>
              <w:tab/>
            </w:r>
            <w:sdt>
              <w:sdtPr>
                <w:rPr>
                  <w:rFonts w:ascii="MS Gothic" w:eastAsia="MS Gothic" w:hAnsi="MS Gothic"/>
                </w:rPr>
                <w:id w:val="195593646"/>
                <w14:checkbox>
                  <w14:checked w14:val="0"/>
                  <w14:checkedState w14:val="2612" w14:font="MS Gothic"/>
                  <w14:uncheckedState w14:val="2610" w14:font="MS Gothic"/>
                </w14:checkbox>
              </w:sdtPr>
              <w:sdtEndPr/>
              <w:sdtContent>
                <w:r w:rsidRPr="00EA02FD">
                  <w:rPr>
                    <w:rFonts w:ascii="MS Gothic" w:eastAsia="MS Gothic" w:hAnsi="MS Gothic" w:hint="eastAsia"/>
                  </w:rPr>
                  <w:t>☐</w:t>
                </w:r>
              </w:sdtContent>
            </w:sdt>
          </w:p>
          <w:p w14:paraId="3F09BBD3" w14:textId="77777777" w:rsidR="00437F42" w:rsidRDefault="00437F42" w:rsidP="00264A14">
            <w:r>
              <w:t>Datum:</w:t>
            </w:r>
          </w:p>
          <w:p w14:paraId="73776637" w14:textId="77777777" w:rsidR="00437F42" w:rsidRDefault="00437F42" w:rsidP="00264A14">
            <w:r>
              <w:t>Unterschrift:</w:t>
            </w:r>
          </w:p>
          <w:p w14:paraId="469940A5" w14:textId="77777777" w:rsidR="00437F42" w:rsidRDefault="00437F42" w:rsidP="00264A14"/>
        </w:tc>
      </w:tr>
    </w:tbl>
    <w:p w14:paraId="580FB8C4" w14:textId="77777777" w:rsidR="00E04245" w:rsidRDefault="00E04245" w:rsidP="00264A14">
      <w:pPr>
        <w:rPr>
          <w:szCs w:val="16"/>
        </w:rPr>
      </w:pPr>
      <w:r>
        <w:br w:type="page"/>
      </w:r>
    </w:p>
    <w:p w14:paraId="28E3E3ED" w14:textId="49ABBE29" w:rsidR="00E04245" w:rsidRDefault="00E04245" w:rsidP="00264A14"/>
    <w:p w14:paraId="340DAB68" w14:textId="77777777" w:rsidR="00326856" w:rsidRPr="000F39B3" w:rsidRDefault="00326856" w:rsidP="00264A14">
      <w:pPr>
        <w:pStyle w:val="berschrift1"/>
      </w:pPr>
      <w:bookmarkStart w:id="105" w:name="_Toc54433101"/>
      <w:bookmarkStart w:id="106" w:name="_Toc54440173"/>
      <w:bookmarkStart w:id="107" w:name="_Toc54595594"/>
      <w:r w:rsidRPr="000F39B3">
        <w:t>Beilagen</w:t>
      </w:r>
      <w:bookmarkEnd w:id="105"/>
      <w:bookmarkEnd w:id="106"/>
      <w:bookmarkEnd w:id="107"/>
    </w:p>
    <w:p w14:paraId="0B75834F" w14:textId="4EE50BB9" w:rsidR="00326856" w:rsidRDefault="00326856" w:rsidP="00004185">
      <w:pPr>
        <w:pStyle w:val="Listenabsatz"/>
        <w:numPr>
          <w:ilvl w:val="0"/>
          <w:numId w:val="4"/>
        </w:numPr>
      </w:pPr>
      <w:r>
        <w:t>Unterlagen des Fahrzeuglieferanten</w:t>
      </w:r>
      <w:r>
        <w:tab/>
      </w:r>
      <w:r>
        <w:tab/>
      </w:r>
      <w:sdt>
        <w:sdtPr>
          <w:rPr>
            <w:rFonts w:ascii="MS Gothic" w:eastAsia="MS Gothic" w:hAnsi="MS Gothic"/>
          </w:rPr>
          <w:id w:val="2114168400"/>
          <w14:checkbox>
            <w14:checked w14:val="0"/>
            <w14:checkedState w14:val="2612" w14:font="MS Gothic"/>
            <w14:uncheckedState w14:val="2610" w14:font="MS Gothic"/>
          </w14:checkbox>
        </w:sdtPr>
        <w:sdtEndPr/>
        <w:sdtContent>
          <w:r w:rsidR="00E63340">
            <w:rPr>
              <w:rFonts w:ascii="MS Gothic" w:eastAsia="MS Gothic" w:hAnsi="MS Gothic" w:hint="eastAsia"/>
            </w:rPr>
            <w:t>☐</w:t>
          </w:r>
        </w:sdtContent>
      </w:sdt>
      <w:r>
        <w:t xml:space="preserve"> (Betriebsanleitung, Typenschild)</w:t>
      </w:r>
    </w:p>
    <w:p w14:paraId="4E7D4631" w14:textId="77777777" w:rsidR="00437F42" w:rsidRDefault="00326856" w:rsidP="00004185">
      <w:pPr>
        <w:pStyle w:val="Listenabsatz"/>
        <w:numPr>
          <w:ilvl w:val="0"/>
          <w:numId w:val="4"/>
        </w:numPr>
      </w:pPr>
      <w:r>
        <w:t>Berechnung der Lüftungsanforderungen</w:t>
      </w:r>
      <w:r>
        <w:tab/>
      </w:r>
      <w:r>
        <w:tab/>
      </w:r>
      <w:sdt>
        <w:sdtPr>
          <w:rPr>
            <w:rFonts w:ascii="MS Gothic" w:eastAsia="MS Gothic" w:hAnsi="MS Gothic"/>
          </w:rPr>
          <w:id w:val="1635437697"/>
          <w14:checkbox>
            <w14:checked w14:val="0"/>
            <w14:checkedState w14:val="2612" w14:font="MS Gothic"/>
            <w14:uncheckedState w14:val="2610" w14:font="MS Gothic"/>
          </w14:checkbox>
        </w:sdtPr>
        <w:sdtEndPr/>
        <w:sdtContent>
          <w:r w:rsidR="00437F42" w:rsidRPr="00EA02FD">
            <w:rPr>
              <w:rFonts w:ascii="MS Gothic" w:eastAsia="MS Gothic" w:hAnsi="MS Gothic" w:hint="eastAsia"/>
            </w:rPr>
            <w:t>☐</w:t>
          </w:r>
        </w:sdtContent>
      </w:sdt>
      <w:r w:rsidR="00437F42">
        <w:t xml:space="preserve"> </w:t>
      </w:r>
    </w:p>
    <w:p w14:paraId="0222D2CB" w14:textId="77777777" w:rsidR="00437F42" w:rsidRDefault="00326856" w:rsidP="00004185">
      <w:pPr>
        <w:pStyle w:val="Listenabsatz"/>
        <w:numPr>
          <w:ilvl w:val="0"/>
          <w:numId w:val="4"/>
        </w:numPr>
      </w:pPr>
      <w:r>
        <w:t>Abnahmeprüfung des Ladeplatzes</w:t>
      </w:r>
      <w:r>
        <w:tab/>
      </w:r>
      <w:r>
        <w:tab/>
      </w:r>
      <w:r>
        <w:tab/>
      </w:r>
      <w:sdt>
        <w:sdtPr>
          <w:rPr>
            <w:rFonts w:ascii="MS Gothic" w:eastAsia="MS Gothic" w:hAnsi="MS Gothic"/>
          </w:rPr>
          <w:id w:val="-436520006"/>
          <w14:checkbox>
            <w14:checked w14:val="0"/>
            <w14:checkedState w14:val="2612" w14:font="MS Gothic"/>
            <w14:uncheckedState w14:val="2610" w14:font="MS Gothic"/>
          </w14:checkbox>
        </w:sdtPr>
        <w:sdtEndPr/>
        <w:sdtContent>
          <w:r w:rsidR="00437F42" w:rsidRPr="00EA02FD">
            <w:rPr>
              <w:rFonts w:ascii="MS Gothic" w:eastAsia="MS Gothic" w:hAnsi="MS Gothic" w:hint="eastAsia"/>
            </w:rPr>
            <w:t>☐</w:t>
          </w:r>
        </w:sdtContent>
      </w:sdt>
      <w:r w:rsidR="00437F42" w:rsidRPr="00E75582">
        <w:t xml:space="preserve"> </w:t>
      </w:r>
    </w:p>
    <w:p w14:paraId="0CC1F8E9" w14:textId="7DC13A19" w:rsidR="00437F42" w:rsidRDefault="00326856" w:rsidP="00004185">
      <w:pPr>
        <w:pStyle w:val="Listenabsatz"/>
        <w:numPr>
          <w:ilvl w:val="0"/>
          <w:numId w:val="4"/>
        </w:numPr>
      </w:pPr>
      <w:r w:rsidRPr="00E75582">
        <w:t>Genehmigungen</w:t>
      </w:r>
      <w:r w:rsidRPr="00E75582">
        <w:tab/>
      </w:r>
      <w:r w:rsidRPr="00E75582">
        <w:tab/>
      </w:r>
      <w:r>
        <w:tab/>
      </w:r>
      <w:r>
        <w:tab/>
      </w:r>
      <w:r>
        <w:tab/>
      </w:r>
      <w:sdt>
        <w:sdtPr>
          <w:rPr>
            <w:rFonts w:ascii="MS Gothic" w:eastAsia="MS Gothic" w:hAnsi="MS Gothic"/>
          </w:rPr>
          <w:id w:val="401186393"/>
          <w14:checkbox>
            <w14:checked w14:val="0"/>
            <w14:checkedState w14:val="2612" w14:font="MS Gothic"/>
            <w14:uncheckedState w14:val="2610" w14:font="MS Gothic"/>
          </w14:checkbox>
        </w:sdtPr>
        <w:sdtEndPr/>
        <w:sdtContent>
          <w:r w:rsidR="00437F42" w:rsidRPr="00437F42">
            <w:rPr>
              <w:rFonts w:ascii="MS Gothic" w:eastAsia="MS Gothic" w:hAnsi="MS Gothic" w:hint="eastAsia"/>
            </w:rPr>
            <w:t>☐</w:t>
          </w:r>
        </w:sdtContent>
      </w:sdt>
      <w:r w:rsidR="00437F42">
        <w:t xml:space="preserve"> </w:t>
      </w:r>
    </w:p>
    <w:p w14:paraId="7E0410A2" w14:textId="2E7AA527" w:rsidR="00B1459A" w:rsidRPr="00437F42" w:rsidRDefault="00326856" w:rsidP="00004185">
      <w:pPr>
        <w:pStyle w:val="Listenabsatz"/>
        <w:numPr>
          <w:ilvl w:val="0"/>
          <w:numId w:val="4"/>
        </w:numPr>
      </w:pPr>
      <w:r>
        <w:t>Ableitfähigkeitsnachweis für den Boden</w:t>
      </w:r>
      <w:r w:rsidRPr="00E75582">
        <w:tab/>
      </w:r>
      <w:r w:rsidRPr="00E75582">
        <w:tab/>
      </w:r>
      <w:bookmarkStart w:id="108" w:name="_Hlk54595526"/>
      <w:sdt>
        <w:sdtPr>
          <w:rPr>
            <w:rFonts w:ascii="MS Gothic" w:eastAsia="MS Gothic" w:hAnsi="MS Gothic"/>
          </w:rPr>
          <w:id w:val="-1223750078"/>
          <w14:checkbox>
            <w14:checked w14:val="0"/>
            <w14:checkedState w14:val="2612" w14:font="MS Gothic"/>
            <w14:uncheckedState w14:val="2610" w14:font="MS Gothic"/>
          </w14:checkbox>
        </w:sdtPr>
        <w:sdtEndPr/>
        <w:sdtContent>
          <w:r w:rsidR="00437F42" w:rsidRPr="00EA02FD">
            <w:rPr>
              <w:rFonts w:ascii="MS Gothic" w:eastAsia="MS Gothic" w:hAnsi="MS Gothic" w:hint="eastAsia"/>
            </w:rPr>
            <w:t>☐</w:t>
          </w:r>
        </w:sdtContent>
      </w:sdt>
    </w:p>
    <w:p w14:paraId="321E8530" w14:textId="77777777" w:rsidR="00437F42" w:rsidRDefault="00437F42" w:rsidP="00004185">
      <w:pPr>
        <w:pStyle w:val="Listenabsatz"/>
        <w:numPr>
          <w:ilvl w:val="0"/>
          <w:numId w:val="4"/>
        </w:numPr>
      </w:pPr>
    </w:p>
    <w:p w14:paraId="4C77F37A" w14:textId="01B76833" w:rsidR="00326856" w:rsidRDefault="00326856" w:rsidP="00264A14">
      <w:pPr>
        <w:pStyle w:val="berschrift1"/>
      </w:pPr>
      <w:bookmarkStart w:id="109" w:name="_Toc54595595"/>
      <w:r>
        <w:t>Verantwortlichkeit</w:t>
      </w:r>
      <w:bookmarkEnd w:id="109"/>
    </w:p>
    <w:p w14:paraId="74250ACC" w14:textId="77777777" w:rsidR="00326856" w:rsidRPr="00326856" w:rsidRDefault="00326856" w:rsidP="00264A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725"/>
      </w:tblGrid>
      <w:tr w:rsidR="00326856" w14:paraId="5D5B253F" w14:textId="77777777" w:rsidTr="00326856">
        <w:trPr>
          <w:trHeight w:val="339"/>
        </w:trPr>
        <w:tc>
          <w:tcPr>
            <w:tcW w:w="4762" w:type="dxa"/>
            <w:vAlign w:val="center"/>
          </w:tcPr>
          <w:p w14:paraId="0F73FBF6" w14:textId="77777777" w:rsidR="00326856" w:rsidRDefault="00326856" w:rsidP="00264A14">
            <w:r>
              <w:t>Beigezogene Personen:</w:t>
            </w:r>
          </w:p>
        </w:tc>
        <w:tc>
          <w:tcPr>
            <w:tcW w:w="4725" w:type="dxa"/>
            <w:vAlign w:val="center"/>
          </w:tcPr>
          <w:p w14:paraId="6F95B55A" w14:textId="77777777" w:rsidR="00326856" w:rsidRDefault="00326856" w:rsidP="00264A14">
            <w:r>
              <w:t>Dem Arbeitgeber zur Kenntnis gebracht:</w:t>
            </w:r>
          </w:p>
        </w:tc>
      </w:tr>
      <w:tr w:rsidR="00326856" w14:paraId="5D5CE229" w14:textId="77777777" w:rsidTr="00B13334">
        <w:trPr>
          <w:trHeight w:val="713"/>
        </w:trPr>
        <w:tc>
          <w:tcPr>
            <w:tcW w:w="4762" w:type="dxa"/>
          </w:tcPr>
          <w:p w14:paraId="0CB0BCEE" w14:textId="77777777" w:rsidR="00326856" w:rsidRDefault="00326856" w:rsidP="00264A14"/>
        </w:tc>
        <w:tc>
          <w:tcPr>
            <w:tcW w:w="4725" w:type="dxa"/>
          </w:tcPr>
          <w:p w14:paraId="734C9E2C" w14:textId="77777777" w:rsidR="00326856" w:rsidRDefault="00326856" w:rsidP="00264A14"/>
        </w:tc>
      </w:tr>
      <w:tr w:rsidR="00326856" w14:paraId="0027FC0F" w14:textId="77777777" w:rsidTr="00B13334">
        <w:trPr>
          <w:trHeight w:val="713"/>
        </w:trPr>
        <w:tc>
          <w:tcPr>
            <w:tcW w:w="4762" w:type="dxa"/>
          </w:tcPr>
          <w:p w14:paraId="7E7D96BB" w14:textId="7B008BE6" w:rsidR="00326856" w:rsidRDefault="00326856" w:rsidP="00264A14">
            <w:r>
              <w:t>Datum</w:t>
            </w:r>
          </w:p>
        </w:tc>
        <w:tc>
          <w:tcPr>
            <w:tcW w:w="4725" w:type="dxa"/>
          </w:tcPr>
          <w:p w14:paraId="330C766D" w14:textId="369809A9" w:rsidR="00326856" w:rsidRDefault="00326856" w:rsidP="00264A14">
            <w:r>
              <w:t>Ort</w:t>
            </w:r>
          </w:p>
        </w:tc>
      </w:tr>
      <w:bookmarkEnd w:id="108"/>
    </w:tbl>
    <w:p w14:paraId="5CAAF42C" w14:textId="77777777" w:rsidR="00E04245" w:rsidRDefault="00E04245" w:rsidP="00264A14"/>
    <w:p w14:paraId="5C14A6A5" w14:textId="77777777" w:rsidR="00E04245" w:rsidRDefault="00E04245" w:rsidP="00264A14"/>
    <w:p w14:paraId="2BDC6A5E" w14:textId="77777777" w:rsidR="002806FA" w:rsidRDefault="002806FA" w:rsidP="00264A14">
      <w:r>
        <w:rPr>
          <w:noProof/>
          <w:lang w:val="de-AT" w:eastAsia="de-AT"/>
        </w:rPr>
        <mc:AlternateContent>
          <mc:Choice Requires="wps">
            <w:drawing>
              <wp:inline distT="0" distB="0" distL="0" distR="0" wp14:anchorId="319EE16A" wp14:editId="5EE2498F">
                <wp:extent cx="6038215" cy="4981516"/>
                <wp:effectExtent l="0" t="0" r="19685" b="10160"/>
                <wp:docPr id="44" name="Textfeld 44"/>
                <wp:cNvGraphicFramePr/>
                <a:graphic xmlns:a="http://schemas.openxmlformats.org/drawingml/2006/main">
                  <a:graphicData uri="http://schemas.microsoft.com/office/word/2010/wordprocessingShape">
                    <wps:wsp>
                      <wps:cNvSpPr txBox="1"/>
                      <wps:spPr>
                        <a:xfrm>
                          <a:off x="0" y="0"/>
                          <a:ext cx="6038215" cy="4981516"/>
                        </a:xfrm>
                        <a:prstGeom prst="roundRect">
                          <a:avLst>
                            <a:gd name="adj" fmla="val 9788"/>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3AEC5C3" w14:textId="3832D000" w:rsidR="002B52D0" w:rsidRPr="00E63340" w:rsidRDefault="004429D3" w:rsidP="00264A14">
                            <w:pPr>
                              <w:rPr>
                                <w:color w:val="000000" w:themeColor="text1"/>
                              </w:rPr>
                            </w:pPr>
                            <w:r>
                              <w:rPr>
                                <w:noProof/>
                                <w:lang w:val="de-AT" w:eastAsia="de-AT"/>
                              </w:rPr>
                              <w:t xml:space="preserve"> </w:t>
                            </w:r>
                            <w:r w:rsidR="002B52D0" w:rsidRPr="002806FA">
                              <w:rPr>
                                <w:noProof/>
                                <w:lang w:val="de-AT" w:eastAsia="de-AT"/>
                              </w:rPr>
                              <w:drawing>
                                <wp:inline distT="0" distB="0" distL="0" distR="0" wp14:anchorId="71F80E7B" wp14:editId="0FB5C307">
                                  <wp:extent cx="266065" cy="256540"/>
                                  <wp:effectExtent l="0" t="0" r="635" b="0"/>
                                  <wp:docPr id="5" name="Grafik 5" title="Logo www.eva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065" cy="256540"/>
                                          </a:xfrm>
                                          <a:prstGeom prst="rect">
                                            <a:avLst/>
                                          </a:prstGeom>
                                          <a:noFill/>
                                          <a:ln>
                                            <a:noFill/>
                                          </a:ln>
                                        </pic:spPr>
                                      </pic:pic>
                                    </a:graphicData>
                                  </a:graphic>
                                </wp:inline>
                              </w:drawing>
                            </w:r>
                            <w:r w:rsidR="002B52D0" w:rsidRPr="00E63340">
                              <w:rPr>
                                <w:b/>
                                <w:bCs/>
                                <w:color w:val="000000" w:themeColor="text1"/>
                                <w:sz w:val="36"/>
                                <w:szCs w:val="36"/>
                              </w:rPr>
                              <w:t>WICHTIGER HINWEIS</w:t>
                            </w:r>
                            <w:r w:rsidR="002B52D0" w:rsidRPr="00E04245">
                              <w:br/>
                            </w:r>
                            <w:r w:rsidR="002B52D0" w:rsidRPr="00E63340">
                              <w:rPr>
                                <w:color w:val="000000" w:themeColor="text1"/>
                              </w:rPr>
                              <w:t>Diese Konzepte für Explosionsschutzdokumente sind eine Hilfestellung für Klein- und Mittelbetriebe. </w:t>
                            </w:r>
                          </w:p>
                          <w:p w14:paraId="32E598D1" w14:textId="6AE18053" w:rsidR="002B52D0" w:rsidRPr="00E63340" w:rsidRDefault="002B52D0" w:rsidP="00264A14">
                            <w:pPr>
                              <w:rPr>
                                <w:color w:val="000000" w:themeColor="text1"/>
                              </w:rPr>
                            </w:pPr>
                            <w:r w:rsidRPr="00E63340">
                              <w:rPr>
                                <w:color w:val="000000" w:themeColor="text1"/>
                              </w:rPr>
                              <w:t>Diese Konzepte stellen eine Orientierungshilfe zu Begin</w:t>
                            </w:r>
                            <w:r>
                              <w:rPr>
                                <w:color w:val="000000" w:themeColor="text1"/>
                              </w:rPr>
                              <w:t>n des Evaluierungsprozesses dar.</w:t>
                            </w:r>
                            <w:r w:rsidRPr="00E63340">
                              <w:rPr>
                                <w:color w:val="000000" w:themeColor="text1"/>
                              </w:rPr>
                              <w:br/>
                              <w:t>In keinem Fall können diese Konzepte eine sorgfältige Ermittlung und Beurteilung der Explosionsgefahren ersetzen. Im Rahmen dieses Prozesses ist auch zu ermitteln, welche Maßnahmen im konkreten Fall notwendig und umzusetzen sind.</w:t>
                            </w:r>
                            <w:r w:rsidRPr="00E63340">
                              <w:rPr>
                                <w:color w:val="000000" w:themeColor="text1"/>
                              </w:rPr>
                              <w:br/>
                            </w:r>
                          </w:p>
                          <w:p w14:paraId="2D244EA3" w14:textId="77777777" w:rsidR="002B52D0" w:rsidRPr="00E63340" w:rsidRDefault="002B52D0" w:rsidP="00264A14">
                            <w:pPr>
                              <w:rPr>
                                <w:color w:val="000000" w:themeColor="text1"/>
                              </w:rPr>
                            </w:pPr>
                            <w:r w:rsidRPr="00E63340">
                              <w:rPr>
                                <w:color w:val="000000" w:themeColor="text1"/>
                              </w:rPr>
                              <w:t>Es wird empfohlen, erst nach Umsetzung aller Schutzmaßnahmen unter Zuhilfenahme dieser Konzepte vollständige Explosionsschutzdokumente gemäß § 5 VEXAT zu erstellen.</w:t>
                            </w:r>
                            <w:r w:rsidRPr="00E63340">
                              <w:rPr>
                                <w:color w:val="000000" w:themeColor="text1"/>
                              </w:rPr>
                              <w:br/>
                              <w:t>Da diese Konzepte nicht für alle Anlagen darstellbar sind, sind diese Konzepte auf die jeweilige Situation und Anlage konkret anzupassen.</w:t>
                            </w:r>
                          </w:p>
                          <w:p w14:paraId="64E98C58" w14:textId="77777777" w:rsidR="002B52D0" w:rsidRPr="00E63340" w:rsidRDefault="002B52D0" w:rsidP="00264A14">
                            <w:pPr>
                              <w:rPr>
                                <w:color w:val="000000" w:themeColor="text1"/>
                              </w:rPr>
                            </w:pPr>
                          </w:p>
                          <w:p w14:paraId="6EB9F098" w14:textId="77777777" w:rsidR="002B52D0" w:rsidRPr="00E63340" w:rsidRDefault="002B52D0" w:rsidP="00264A14">
                            <w:pPr>
                              <w:rPr>
                                <w:color w:val="000000" w:themeColor="text1"/>
                              </w:rPr>
                            </w:pPr>
                            <w:r w:rsidRPr="00E63340">
                              <w:rPr>
                                <w:color w:val="000000" w:themeColor="text1"/>
                              </w:rPr>
                              <w:t>Es wird ausdrücklich darauf hingewiesen, dass diese Konzepte die ArbeitgeberInnen in keiner Weise von ihren umfangreichen gesetzlichen Pflichten, insbesondere durch das ASchG und die VEXAT entbinden.</w:t>
                            </w:r>
                            <w:r w:rsidRPr="00E63340">
                              <w:rPr>
                                <w:color w:val="000000" w:themeColor="text1"/>
                              </w:rPr>
                              <w:br/>
                              <w:t>Eine gesetzeskonforme Evaluierung der Explosionsgefahren liegt erst dann vor, wenn die erforderlichen und angeführten Maßnahmen umgesetzt wurden und durch weitere betriebliche Dokumente (z.B. Betriebsanleitungen, Konformitätserklärungen, Prüfprotokolle, Unterweisungsnachweise etc.) belegt sind.</w:t>
                            </w:r>
                          </w:p>
                          <w:p w14:paraId="6E4FF53F" w14:textId="77777777" w:rsidR="002B52D0" w:rsidRPr="00E63340" w:rsidRDefault="002B52D0" w:rsidP="00264A14">
                            <w:pPr>
                              <w:rPr>
                                <w:color w:val="000000" w:themeColor="text1"/>
                              </w:rPr>
                            </w:pPr>
                          </w:p>
                          <w:p w14:paraId="0C805FCF" w14:textId="77777777" w:rsidR="002B52D0" w:rsidRPr="00E63340" w:rsidRDefault="002B52D0" w:rsidP="00264A14">
                            <w:pPr>
                              <w:rPr>
                                <w:color w:val="000000" w:themeColor="text1"/>
                              </w:rPr>
                            </w:pPr>
                            <w:r w:rsidRPr="00E63340">
                              <w:rPr>
                                <w:color w:val="000000" w:themeColor="text1"/>
                              </w:rPr>
                              <w:t>Die abschließende Beurteilung, ob die fertiggestellten Explosionsschutzdokumente den Anforderungen des § 5 VEXAT entsprechen, obliegt der geeigneten fachkundigen Person bei der Prüfung nach § 7 VEXAT.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319EE16A" id="Textfeld 44" o:spid="_x0000_s1026" style="width:475.45pt;height:392.25pt;visibility:visible;mso-wrap-style:square;mso-left-percent:-10001;mso-top-percent:-10001;mso-position-horizontal:absolute;mso-position-horizontal-relative:char;mso-position-vertical:absolute;mso-position-vertical-relative:line;mso-left-percent:-10001;mso-top-percent:-10001;v-text-anchor:top" arcsize="64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" fillcolor="#ffc000 [3207]" strokecolor="#7f5f00 [1607]" strokeweight="1pt">
                <v:stroke joinstyle="miter"/>
                <v:textbox>
                  <w:txbxContent>
                    <w:p w14:paraId="13AEC5C3" w14:textId="3832D000" w:rsidR="002B52D0" w:rsidRPr="00E63340" w:rsidRDefault="004429D3" w:rsidP="00264A14">
                      <w:pPr>
                        <w:rPr>
                          <w:color w:val="000000" w:themeColor="text1"/>
                        </w:rPr>
                      </w:pPr>
                      <w:r>
                        <w:rPr>
                          <w:noProof/>
                          <w:lang w:val="de-AT" w:eastAsia="de-AT"/>
                        </w:rPr>
                        <w:t xml:space="preserve"> </w:t>
                      </w:r>
                      <w:bookmarkStart w:id="110" w:name="_GoBack"/>
                      <w:r w:rsidR="002B52D0" w:rsidRPr="002806FA">
                        <w:rPr>
                          <w:noProof/>
                          <w:lang w:val="de-AT" w:eastAsia="de-AT"/>
                        </w:rPr>
                        <w:drawing>
                          <wp:inline distT="0" distB="0" distL="0" distR="0" wp14:anchorId="71F80E7B" wp14:editId="0FB5C307">
                            <wp:extent cx="266065" cy="256540"/>
                            <wp:effectExtent l="0" t="0" r="635" b="0"/>
                            <wp:docPr id="5" name="Grafik 5" title="Logo www.eva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065" cy="256540"/>
                                    </a:xfrm>
                                    <a:prstGeom prst="rect">
                                      <a:avLst/>
                                    </a:prstGeom>
                                    <a:noFill/>
                                    <a:ln>
                                      <a:noFill/>
                                    </a:ln>
                                  </pic:spPr>
                                </pic:pic>
                              </a:graphicData>
                            </a:graphic>
                          </wp:inline>
                        </w:drawing>
                      </w:r>
                      <w:bookmarkEnd w:id="110"/>
                      <w:r w:rsidR="002B52D0" w:rsidRPr="00E63340">
                        <w:rPr>
                          <w:b/>
                          <w:bCs/>
                          <w:color w:val="000000" w:themeColor="text1"/>
                          <w:sz w:val="36"/>
                          <w:szCs w:val="36"/>
                        </w:rPr>
                        <w:t>WICHTIGER HINWEIS</w:t>
                      </w:r>
                      <w:r w:rsidR="002B52D0" w:rsidRPr="00E04245">
                        <w:br/>
                      </w:r>
                      <w:r w:rsidR="002B52D0" w:rsidRPr="00E63340">
                        <w:rPr>
                          <w:color w:val="000000" w:themeColor="text1"/>
                        </w:rPr>
                        <w:t>Diese Konzepte für Explosionsschutzdokumente sind eine Hilfestellung für Klein- und Mittelbetriebe. </w:t>
                      </w:r>
                    </w:p>
                    <w:p w14:paraId="32E598D1" w14:textId="6AE18053" w:rsidR="002B52D0" w:rsidRPr="00E63340" w:rsidRDefault="002B52D0" w:rsidP="00264A14">
                      <w:pPr>
                        <w:rPr>
                          <w:color w:val="000000" w:themeColor="text1"/>
                        </w:rPr>
                      </w:pPr>
                      <w:r w:rsidRPr="00E63340">
                        <w:rPr>
                          <w:color w:val="000000" w:themeColor="text1"/>
                        </w:rPr>
                        <w:t>Diese Konzepte stellen eine Orientierungshilfe zu Begin</w:t>
                      </w:r>
                      <w:r>
                        <w:rPr>
                          <w:color w:val="000000" w:themeColor="text1"/>
                        </w:rPr>
                        <w:t>n des Evaluierungsprozesses dar.</w:t>
                      </w:r>
                      <w:r w:rsidRPr="00E63340">
                        <w:rPr>
                          <w:color w:val="000000" w:themeColor="text1"/>
                        </w:rPr>
                        <w:br/>
                        <w:t>In keinem Fall können diese Konzepte eine sorgfältige Ermittlung und Beurteilung der Explosionsgefahren ersetzen. Im Rahmen dieses Prozesses ist auch zu ermitteln, welche Maßnahmen im konkreten Fall notwendig und umzusetzen sind.</w:t>
                      </w:r>
                      <w:r w:rsidRPr="00E63340">
                        <w:rPr>
                          <w:color w:val="000000" w:themeColor="text1"/>
                        </w:rPr>
                        <w:br/>
                      </w:r>
                    </w:p>
                    <w:p w14:paraId="2D244EA3" w14:textId="77777777" w:rsidR="002B52D0" w:rsidRPr="00E63340" w:rsidRDefault="002B52D0" w:rsidP="00264A14">
                      <w:pPr>
                        <w:rPr>
                          <w:color w:val="000000" w:themeColor="text1"/>
                        </w:rPr>
                      </w:pPr>
                      <w:r w:rsidRPr="00E63340">
                        <w:rPr>
                          <w:color w:val="000000" w:themeColor="text1"/>
                        </w:rPr>
                        <w:t>Es wird empfohlen, erst nach Umsetzung aller Schutzmaßnahmen unter Zuhilfenahme dieser Konzepte vollständige Explosionsschutzdokumente gemäß § 5 VEXAT zu erstellen.</w:t>
                      </w:r>
                      <w:r w:rsidRPr="00E63340">
                        <w:rPr>
                          <w:color w:val="000000" w:themeColor="text1"/>
                        </w:rPr>
                        <w:br/>
                        <w:t>Da diese Konzepte nicht für alle Anlagen darstellbar sind, sind diese Konzepte auf die jeweilige Situation und Anlage konkret anzupassen.</w:t>
                      </w:r>
                    </w:p>
                    <w:p w14:paraId="64E98C58" w14:textId="77777777" w:rsidR="002B52D0" w:rsidRPr="00E63340" w:rsidRDefault="002B52D0" w:rsidP="00264A14">
                      <w:pPr>
                        <w:rPr>
                          <w:color w:val="000000" w:themeColor="text1"/>
                        </w:rPr>
                      </w:pPr>
                    </w:p>
                    <w:p w14:paraId="6EB9F098" w14:textId="77777777" w:rsidR="002B52D0" w:rsidRPr="00E63340" w:rsidRDefault="002B52D0" w:rsidP="00264A14">
                      <w:pPr>
                        <w:rPr>
                          <w:color w:val="000000" w:themeColor="text1"/>
                        </w:rPr>
                      </w:pPr>
                      <w:r w:rsidRPr="00E63340">
                        <w:rPr>
                          <w:color w:val="000000" w:themeColor="text1"/>
                        </w:rPr>
                        <w:t xml:space="preserve">Es wird ausdrücklich darauf hingewiesen, dass diese Konzepte die </w:t>
                      </w:r>
                      <w:proofErr w:type="spellStart"/>
                      <w:r w:rsidRPr="00E63340">
                        <w:rPr>
                          <w:color w:val="000000" w:themeColor="text1"/>
                        </w:rPr>
                        <w:t>ArbeitgeberInnen</w:t>
                      </w:r>
                      <w:proofErr w:type="spellEnd"/>
                      <w:r w:rsidRPr="00E63340">
                        <w:rPr>
                          <w:color w:val="000000" w:themeColor="text1"/>
                        </w:rPr>
                        <w:t xml:space="preserve"> in keiner Weise von ihren umfangreichen gesetzlichen Pflichten, insbesondere durch das ASchG und die VEXAT entbinden.</w:t>
                      </w:r>
                      <w:r w:rsidRPr="00E63340">
                        <w:rPr>
                          <w:color w:val="000000" w:themeColor="text1"/>
                        </w:rPr>
                        <w:br/>
                        <w:t>Eine gesetzeskonforme Evaluierung der Explosionsgefahren liegt erst dann vor, wenn die erforderlichen und angeführten Maßnahmen umgesetzt wurden und durch weitere betriebliche Dokumente (z.B. Betriebsanleitungen, Konformitätserklärungen, Prüfprotokolle, Unterweisungsnachweise etc.) belegt sind.</w:t>
                      </w:r>
                    </w:p>
                    <w:p w14:paraId="6E4FF53F" w14:textId="77777777" w:rsidR="002B52D0" w:rsidRPr="00E63340" w:rsidRDefault="002B52D0" w:rsidP="00264A14">
                      <w:pPr>
                        <w:rPr>
                          <w:color w:val="000000" w:themeColor="text1"/>
                        </w:rPr>
                      </w:pPr>
                    </w:p>
                    <w:p w14:paraId="0C805FCF" w14:textId="77777777" w:rsidR="002B52D0" w:rsidRPr="00E63340" w:rsidRDefault="002B52D0" w:rsidP="00264A14">
                      <w:pPr>
                        <w:rPr>
                          <w:color w:val="000000" w:themeColor="text1"/>
                        </w:rPr>
                      </w:pPr>
                      <w:r w:rsidRPr="00E63340">
                        <w:rPr>
                          <w:color w:val="000000" w:themeColor="text1"/>
                        </w:rPr>
                        <w:t>Die abschließende Beurteilung, ob die fertiggestellten Explosionsschutzdokumente den Anforderungen des § 5 VEXAT entsprechen, obliegt der geeigneten fachkundigen Person bei der Prüfung nach § 7 VEXAT.</w:t>
                      </w:r>
                    </w:p>
                  </w:txbxContent>
                </v:textbox>
                <w10:anchorlock/>
              </v:roundrect>
            </w:pict>
          </mc:Fallback>
        </mc:AlternateContent>
      </w:r>
    </w:p>
    <w:sectPr w:rsidR="002806FA">
      <w:headerReference w:type="default" r:id="rId16"/>
      <w:footerReference w:type="default" r:id="rId17"/>
      <w:pgSz w:w="11906" w:h="16838"/>
      <w:pgMar w:top="1134"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46032" w14:textId="77777777" w:rsidR="002B52D0" w:rsidRDefault="002B52D0" w:rsidP="00264A14">
      <w:r>
        <w:separator/>
      </w:r>
    </w:p>
  </w:endnote>
  <w:endnote w:type="continuationSeparator" w:id="0">
    <w:p w14:paraId="05E6B5D8" w14:textId="77777777" w:rsidR="002B52D0" w:rsidRDefault="002B52D0" w:rsidP="0026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ymbolMT">
    <w:altName w:val="Times New Roman"/>
    <w:panose1 w:val="00000000000000000000"/>
    <w:charset w:val="A1"/>
    <w:family w:val="auto"/>
    <w:notTrueType/>
    <w:pitch w:val="default"/>
    <w:sig w:usb0="00000081" w:usb1="08070000" w:usb2="00000010" w:usb3="00000000" w:csb0="00020008"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F6780" w14:textId="7E1AFA55" w:rsidR="002B52D0" w:rsidRDefault="002B52D0" w:rsidP="00264A14">
    <w:pPr>
      <w:pStyle w:val="Fuzeile"/>
    </w:pPr>
    <w:r>
      <w:t xml:space="preserve">ExSD Stand </w:t>
    </w:r>
    <w:r>
      <w:fldChar w:fldCharType="begin"/>
    </w:r>
    <w:r>
      <w:instrText xml:space="preserve"> TIME \@ "dd.MM.yyyy" </w:instrText>
    </w:r>
    <w:r>
      <w:fldChar w:fldCharType="separate"/>
    </w:r>
    <w:r w:rsidR="001E7A16">
      <w:rPr>
        <w:noProof/>
      </w:rPr>
      <w:t>19.11.2020</w:t>
    </w:r>
    <w:r>
      <w:fldChar w:fldCharType="end"/>
    </w:r>
    <w:r w:rsidR="00F92EBF">
      <w:t xml:space="preserve">, Quelle: </w:t>
    </w:r>
    <w:hyperlink r:id="rId1" w:history="1">
      <w:r w:rsidR="00F92EBF" w:rsidRPr="001170E1">
        <w:rPr>
          <w:rStyle w:val="Hyperlink"/>
        </w:rPr>
        <w:t>www.eval.at</w:t>
      </w:r>
    </w:hyperlink>
    <w:r w:rsidR="00F92EBF">
      <w:tab/>
    </w:r>
    <w:r w:rsidR="00F92EBF">
      <w:tab/>
    </w:r>
    <w:r>
      <w:t xml:space="preserve">Seite </w:t>
    </w:r>
    <w:r>
      <w:rPr>
        <w:rStyle w:val="Seitenzahl"/>
        <w:rFonts w:ascii="Trebuchet MS" w:hAnsi="Trebuchet MS" w:cs="Arial"/>
        <w:sz w:val="16"/>
        <w:szCs w:val="16"/>
      </w:rPr>
      <w:fldChar w:fldCharType="begin"/>
    </w:r>
    <w:r>
      <w:rPr>
        <w:rStyle w:val="Seitenzahl"/>
        <w:rFonts w:ascii="Trebuchet MS" w:hAnsi="Trebuchet MS" w:cs="Arial"/>
        <w:sz w:val="16"/>
        <w:szCs w:val="16"/>
      </w:rPr>
      <w:instrText xml:space="preserve"> PAGE </w:instrText>
    </w:r>
    <w:r>
      <w:rPr>
        <w:rStyle w:val="Seitenzahl"/>
        <w:rFonts w:ascii="Trebuchet MS" w:hAnsi="Trebuchet MS" w:cs="Arial"/>
        <w:sz w:val="16"/>
        <w:szCs w:val="16"/>
      </w:rPr>
      <w:fldChar w:fldCharType="separate"/>
    </w:r>
    <w:r w:rsidR="00F92EBF">
      <w:rPr>
        <w:rStyle w:val="Seitenzahl"/>
        <w:rFonts w:ascii="Trebuchet MS" w:hAnsi="Trebuchet MS" w:cs="Arial"/>
        <w:noProof/>
        <w:sz w:val="16"/>
        <w:szCs w:val="16"/>
      </w:rPr>
      <w:t>6</w:t>
    </w:r>
    <w:r>
      <w:rPr>
        <w:rStyle w:val="Seitenzahl"/>
        <w:rFonts w:ascii="Trebuchet MS" w:hAnsi="Trebuchet MS" w:cs="Arial"/>
        <w:sz w:val="16"/>
        <w:szCs w:val="16"/>
      </w:rPr>
      <w:fldChar w:fldCharType="end"/>
    </w:r>
    <w:r>
      <w:rPr>
        <w:rStyle w:val="Seitenzahl"/>
        <w:rFonts w:ascii="Trebuchet MS" w:hAnsi="Trebuchet MS" w:cs="Arial"/>
        <w:sz w:val="16"/>
        <w:szCs w:val="16"/>
      </w:rPr>
      <w:t xml:space="preserve"> von </w:t>
    </w:r>
    <w:r>
      <w:rPr>
        <w:rStyle w:val="Seitenzahl"/>
        <w:rFonts w:ascii="Trebuchet MS" w:hAnsi="Trebuchet MS" w:cs="Arial"/>
        <w:sz w:val="16"/>
        <w:szCs w:val="16"/>
      </w:rPr>
      <w:fldChar w:fldCharType="begin"/>
    </w:r>
    <w:r>
      <w:rPr>
        <w:rStyle w:val="Seitenzahl"/>
        <w:rFonts w:ascii="Trebuchet MS" w:hAnsi="Trebuchet MS" w:cs="Arial"/>
        <w:sz w:val="16"/>
        <w:szCs w:val="16"/>
      </w:rPr>
      <w:instrText xml:space="preserve"> NUMPAGES </w:instrText>
    </w:r>
    <w:r>
      <w:rPr>
        <w:rStyle w:val="Seitenzahl"/>
        <w:rFonts w:ascii="Trebuchet MS" w:hAnsi="Trebuchet MS" w:cs="Arial"/>
        <w:sz w:val="16"/>
        <w:szCs w:val="16"/>
      </w:rPr>
      <w:fldChar w:fldCharType="separate"/>
    </w:r>
    <w:r w:rsidR="00F92EBF">
      <w:rPr>
        <w:rStyle w:val="Seitenzahl"/>
        <w:rFonts w:ascii="Trebuchet MS" w:hAnsi="Trebuchet MS" w:cs="Arial"/>
        <w:noProof/>
        <w:sz w:val="16"/>
        <w:szCs w:val="16"/>
      </w:rPr>
      <w:t>15</w:t>
    </w:r>
    <w:r>
      <w:rPr>
        <w:rStyle w:val="Seitenzahl"/>
        <w:rFonts w:ascii="Trebuchet MS" w:hAnsi="Trebuchet M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C0D6" w14:textId="77777777" w:rsidR="002B52D0" w:rsidRDefault="002B52D0" w:rsidP="00264A14">
      <w:r>
        <w:separator/>
      </w:r>
    </w:p>
  </w:footnote>
  <w:footnote w:type="continuationSeparator" w:id="0">
    <w:p w14:paraId="24B4D4BA" w14:textId="77777777" w:rsidR="002B52D0" w:rsidRDefault="002B52D0" w:rsidP="0026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2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736"/>
      <w:gridCol w:w="4888"/>
    </w:tblGrid>
    <w:tr w:rsidR="002B52D0" w:rsidRPr="00F430F0" w14:paraId="007A6B6B" w14:textId="77777777" w:rsidTr="00F430F0">
      <w:tc>
        <w:tcPr>
          <w:tcW w:w="4736" w:type="dxa"/>
        </w:tcPr>
        <w:p w14:paraId="04F7E58A" w14:textId="77777777" w:rsidR="002B52D0" w:rsidRPr="00F430F0" w:rsidRDefault="002B52D0" w:rsidP="00264A14">
          <w:r w:rsidRPr="00437A38">
            <w:t>Explosionsschutzkonzept</w:t>
          </w:r>
        </w:p>
      </w:tc>
      <w:tc>
        <w:tcPr>
          <w:tcW w:w="4888" w:type="dxa"/>
        </w:tcPr>
        <w:p w14:paraId="417CBBA1" w14:textId="2460D279" w:rsidR="002B52D0" w:rsidRDefault="002B52D0" w:rsidP="00264A14">
          <w:r w:rsidRPr="00150088">
            <w:t>Antriebsbatterien für Elektrofahrzeuge</w:t>
          </w:r>
        </w:p>
        <w:p w14:paraId="32D3C006" w14:textId="7B0FC02D" w:rsidR="002B52D0" w:rsidRPr="00F430F0" w:rsidRDefault="002B52D0" w:rsidP="00264A14">
          <w:r>
            <w:t xml:space="preserve">ÖVE/ÖNORM EN 62485-3 </w:t>
          </w:r>
        </w:p>
      </w:tc>
    </w:tr>
    <w:tr w:rsidR="002B52D0" w:rsidRPr="00F430F0" w14:paraId="41BA877A" w14:textId="77777777" w:rsidTr="00F430F0">
      <w:tc>
        <w:tcPr>
          <w:tcW w:w="4736" w:type="dxa"/>
        </w:tcPr>
        <w:p w14:paraId="7377950D" w14:textId="77777777" w:rsidR="002B52D0" w:rsidRPr="00F430F0" w:rsidRDefault="002B52D0" w:rsidP="00264A14">
          <w:r w:rsidRPr="00F430F0">
            <w:t>gemäß § 5 VEXAT</w:t>
          </w:r>
        </w:p>
      </w:tc>
      <w:tc>
        <w:tcPr>
          <w:tcW w:w="4888" w:type="dxa"/>
        </w:tcPr>
        <w:p w14:paraId="4D9E01DE" w14:textId="660453F1" w:rsidR="002B52D0" w:rsidRPr="00F430F0" w:rsidRDefault="002B52D0" w:rsidP="00264A14">
          <w:r w:rsidRPr="00F430F0">
            <w:t>Version 0</w:t>
          </w:r>
          <w:r>
            <w:t>4</w:t>
          </w:r>
          <w:r w:rsidRPr="00F430F0">
            <w:t>/2020</w:t>
          </w:r>
        </w:p>
      </w:tc>
    </w:tr>
  </w:tbl>
  <w:p w14:paraId="09480679" w14:textId="77777777" w:rsidR="002B52D0" w:rsidRDefault="002B52D0" w:rsidP="00264A14">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C4E"/>
    <w:multiLevelType w:val="hybridMultilevel"/>
    <w:tmpl w:val="3022F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655BA8"/>
    <w:multiLevelType w:val="hybridMultilevel"/>
    <w:tmpl w:val="D9FAC51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14B2E98"/>
    <w:multiLevelType w:val="multilevel"/>
    <w:tmpl w:val="87D44B1C"/>
    <w:lvl w:ilvl="0">
      <w:numFmt w:val="bullet"/>
      <w:lvlText w:val="–"/>
      <w:lvlJc w:val="left"/>
      <w:pPr>
        <w:ind w:left="432" w:hanging="432"/>
      </w:pPr>
      <w:rPr>
        <w:rFonts w:ascii="ArialMT" w:eastAsia="Times New Roman" w:hAnsi="ArialMT" w:cs="ArialMT"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8D0FBC"/>
    <w:multiLevelType w:val="hybridMultilevel"/>
    <w:tmpl w:val="C37E2AE0"/>
    <w:lvl w:ilvl="0" w:tplc="88883BF0">
      <w:start w:val="1"/>
      <w:numFmt w:val="bullet"/>
      <w:lvlText w:val="-"/>
      <w:lvlJc w:val="left"/>
      <w:pPr>
        <w:ind w:left="720" w:hanging="360"/>
      </w:pPr>
      <w:rPr>
        <w:rFonts w:ascii="Calibri" w:eastAsia="Times New Roman" w:hAnsi="Calibri"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9D04282"/>
    <w:multiLevelType w:val="hybridMultilevel"/>
    <w:tmpl w:val="85441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4142A1"/>
    <w:multiLevelType w:val="multilevel"/>
    <w:tmpl w:val="3AF2A62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3E242621"/>
    <w:multiLevelType w:val="hybridMultilevel"/>
    <w:tmpl w:val="0ADC1AFA"/>
    <w:lvl w:ilvl="0" w:tplc="1270BF4C">
      <w:numFmt w:val="bullet"/>
      <w:lvlText w:val="–"/>
      <w:lvlJc w:val="left"/>
      <w:pPr>
        <w:ind w:left="720" w:hanging="360"/>
      </w:pPr>
      <w:rPr>
        <w:rFonts w:ascii="ArialMT" w:eastAsia="Times New Roman" w:hAnsi="ArialMT" w:cs="ArialM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7BE2B2B"/>
    <w:multiLevelType w:val="multilevel"/>
    <w:tmpl w:val="C450DC2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6E3E0730"/>
    <w:multiLevelType w:val="hybridMultilevel"/>
    <w:tmpl w:val="71FEB9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D753E0A"/>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6"/>
  </w:num>
  <w:num w:numId="3">
    <w:abstractNumId w:val="4"/>
  </w:num>
  <w:num w:numId="4">
    <w:abstractNumId w:val="9"/>
  </w:num>
  <w:num w:numId="5">
    <w:abstractNumId w:val="2"/>
  </w:num>
  <w:num w:numId="6">
    <w:abstractNumId w:val="5"/>
  </w:num>
  <w:num w:numId="7">
    <w:abstractNumId w:val="8"/>
  </w:num>
  <w:num w:numId="8">
    <w:abstractNumId w:val="0"/>
  </w:num>
  <w:num w:numId="9">
    <w:abstractNumId w:val="1"/>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EC"/>
    <w:rsid w:val="00004185"/>
    <w:rsid w:val="0002153B"/>
    <w:rsid w:val="00061283"/>
    <w:rsid w:val="0006291E"/>
    <w:rsid w:val="000666B4"/>
    <w:rsid w:val="0008073F"/>
    <w:rsid w:val="00091978"/>
    <w:rsid w:val="000B1300"/>
    <w:rsid w:val="000C237D"/>
    <w:rsid w:val="000D1167"/>
    <w:rsid w:val="000E259F"/>
    <w:rsid w:val="000E4B84"/>
    <w:rsid w:val="00112FDD"/>
    <w:rsid w:val="0014567C"/>
    <w:rsid w:val="00150088"/>
    <w:rsid w:val="00170AD9"/>
    <w:rsid w:val="001C751F"/>
    <w:rsid w:val="001D76B5"/>
    <w:rsid w:val="001E7A16"/>
    <w:rsid w:val="001F3228"/>
    <w:rsid w:val="001F5745"/>
    <w:rsid w:val="00201AB8"/>
    <w:rsid w:val="0022680E"/>
    <w:rsid w:val="00242C69"/>
    <w:rsid w:val="00251C66"/>
    <w:rsid w:val="00264A14"/>
    <w:rsid w:val="00275007"/>
    <w:rsid w:val="00276CED"/>
    <w:rsid w:val="002806FA"/>
    <w:rsid w:val="002877AE"/>
    <w:rsid w:val="00291F41"/>
    <w:rsid w:val="002A5EEA"/>
    <w:rsid w:val="002B52D0"/>
    <w:rsid w:val="002C378A"/>
    <w:rsid w:val="002C6ABD"/>
    <w:rsid w:val="002C7269"/>
    <w:rsid w:val="002D6620"/>
    <w:rsid w:val="002E2097"/>
    <w:rsid w:val="002E6BDD"/>
    <w:rsid w:val="002F5B06"/>
    <w:rsid w:val="00310E96"/>
    <w:rsid w:val="00315007"/>
    <w:rsid w:val="00324B0C"/>
    <w:rsid w:val="00326856"/>
    <w:rsid w:val="003337BE"/>
    <w:rsid w:val="00335C55"/>
    <w:rsid w:val="00351FEE"/>
    <w:rsid w:val="00360E7F"/>
    <w:rsid w:val="00374355"/>
    <w:rsid w:val="00381D2A"/>
    <w:rsid w:val="00387682"/>
    <w:rsid w:val="003A173C"/>
    <w:rsid w:val="003A4777"/>
    <w:rsid w:val="003D1E13"/>
    <w:rsid w:val="003E02D7"/>
    <w:rsid w:val="003E39EA"/>
    <w:rsid w:val="003E4960"/>
    <w:rsid w:val="0042590F"/>
    <w:rsid w:val="00437A38"/>
    <w:rsid w:val="00437F42"/>
    <w:rsid w:val="004429D3"/>
    <w:rsid w:val="00464AC7"/>
    <w:rsid w:val="0047782B"/>
    <w:rsid w:val="0048269B"/>
    <w:rsid w:val="004A2C36"/>
    <w:rsid w:val="004B564D"/>
    <w:rsid w:val="004C27F5"/>
    <w:rsid w:val="004C706A"/>
    <w:rsid w:val="004D16F6"/>
    <w:rsid w:val="004E0CF1"/>
    <w:rsid w:val="004E2CD1"/>
    <w:rsid w:val="004F3C13"/>
    <w:rsid w:val="005139C4"/>
    <w:rsid w:val="0051628B"/>
    <w:rsid w:val="00521F0B"/>
    <w:rsid w:val="00535082"/>
    <w:rsid w:val="00543116"/>
    <w:rsid w:val="00546E43"/>
    <w:rsid w:val="00567E6A"/>
    <w:rsid w:val="00583A23"/>
    <w:rsid w:val="0059087A"/>
    <w:rsid w:val="005D4B80"/>
    <w:rsid w:val="005E2AFC"/>
    <w:rsid w:val="00610F60"/>
    <w:rsid w:val="006319B6"/>
    <w:rsid w:val="00633900"/>
    <w:rsid w:val="0063767F"/>
    <w:rsid w:val="00684173"/>
    <w:rsid w:val="0069306C"/>
    <w:rsid w:val="0069693F"/>
    <w:rsid w:val="006A0392"/>
    <w:rsid w:val="006A5AA0"/>
    <w:rsid w:val="006B26D4"/>
    <w:rsid w:val="006B519E"/>
    <w:rsid w:val="006C3C10"/>
    <w:rsid w:val="006C7B61"/>
    <w:rsid w:val="006E001D"/>
    <w:rsid w:val="006E40F7"/>
    <w:rsid w:val="006E71DD"/>
    <w:rsid w:val="006F444F"/>
    <w:rsid w:val="0071568A"/>
    <w:rsid w:val="00721F60"/>
    <w:rsid w:val="007362E3"/>
    <w:rsid w:val="007412FB"/>
    <w:rsid w:val="007416F6"/>
    <w:rsid w:val="00744F54"/>
    <w:rsid w:val="00762E5E"/>
    <w:rsid w:val="00773529"/>
    <w:rsid w:val="00776A32"/>
    <w:rsid w:val="00791577"/>
    <w:rsid w:val="00795F17"/>
    <w:rsid w:val="007B41D1"/>
    <w:rsid w:val="007B615F"/>
    <w:rsid w:val="007D2245"/>
    <w:rsid w:val="007D2D6F"/>
    <w:rsid w:val="007F58FA"/>
    <w:rsid w:val="00814953"/>
    <w:rsid w:val="008174AE"/>
    <w:rsid w:val="0083267E"/>
    <w:rsid w:val="0083745D"/>
    <w:rsid w:val="00845F99"/>
    <w:rsid w:val="008473A0"/>
    <w:rsid w:val="00855044"/>
    <w:rsid w:val="0085719A"/>
    <w:rsid w:val="0086692B"/>
    <w:rsid w:val="00875E82"/>
    <w:rsid w:val="008C0FBF"/>
    <w:rsid w:val="008C1EB9"/>
    <w:rsid w:val="008E447B"/>
    <w:rsid w:val="008F7396"/>
    <w:rsid w:val="00903289"/>
    <w:rsid w:val="00913C62"/>
    <w:rsid w:val="00915DF6"/>
    <w:rsid w:val="00917375"/>
    <w:rsid w:val="00947DA6"/>
    <w:rsid w:val="0096180F"/>
    <w:rsid w:val="00974438"/>
    <w:rsid w:val="00990015"/>
    <w:rsid w:val="009907AB"/>
    <w:rsid w:val="00991ABE"/>
    <w:rsid w:val="009946FC"/>
    <w:rsid w:val="009A223D"/>
    <w:rsid w:val="009A3FB9"/>
    <w:rsid w:val="009C2AE8"/>
    <w:rsid w:val="009E04B1"/>
    <w:rsid w:val="009E51D3"/>
    <w:rsid w:val="009E6416"/>
    <w:rsid w:val="00A401C6"/>
    <w:rsid w:val="00A71BDC"/>
    <w:rsid w:val="00A73D55"/>
    <w:rsid w:val="00A73ED5"/>
    <w:rsid w:val="00A84E47"/>
    <w:rsid w:val="00AC2781"/>
    <w:rsid w:val="00AD1CBE"/>
    <w:rsid w:val="00AD6612"/>
    <w:rsid w:val="00B02481"/>
    <w:rsid w:val="00B02B68"/>
    <w:rsid w:val="00B13334"/>
    <w:rsid w:val="00B1459A"/>
    <w:rsid w:val="00B2359B"/>
    <w:rsid w:val="00B30342"/>
    <w:rsid w:val="00B314EC"/>
    <w:rsid w:val="00B45E2A"/>
    <w:rsid w:val="00B46094"/>
    <w:rsid w:val="00B516EA"/>
    <w:rsid w:val="00B7080F"/>
    <w:rsid w:val="00B96F18"/>
    <w:rsid w:val="00BA621A"/>
    <w:rsid w:val="00BB386A"/>
    <w:rsid w:val="00BC0DEB"/>
    <w:rsid w:val="00BC67EF"/>
    <w:rsid w:val="00BE10B8"/>
    <w:rsid w:val="00BE26E0"/>
    <w:rsid w:val="00BF083A"/>
    <w:rsid w:val="00C15D11"/>
    <w:rsid w:val="00C20147"/>
    <w:rsid w:val="00C2304B"/>
    <w:rsid w:val="00C234EC"/>
    <w:rsid w:val="00C4022F"/>
    <w:rsid w:val="00C55D6B"/>
    <w:rsid w:val="00C80FCA"/>
    <w:rsid w:val="00C863FC"/>
    <w:rsid w:val="00C867F3"/>
    <w:rsid w:val="00CA7B1F"/>
    <w:rsid w:val="00CD3879"/>
    <w:rsid w:val="00CD5522"/>
    <w:rsid w:val="00CE56A6"/>
    <w:rsid w:val="00CF7ADC"/>
    <w:rsid w:val="00D078DA"/>
    <w:rsid w:val="00D150AA"/>
    <w:rsid w:val="00D16396"/>
    <w:rsid w:val="00D34C01"/>
    <w:rsid w:val="00D46181"/>
    <w:rsid w:val="00D47686"/>
    <w:rsid w:val="00D60933"/>
    <w:rsid w:val="00D752D2"/>
    <w:rsid w:val="00D930BF"/>
    <w:rsid w:val="00DA6177"/>
    <w:rsid w:val="00DA7DC2"/>
    <w:rsid w:val="00DE280D"/>
    <w:rsid w:val="00DF4583"/>
    <w:rsid w:val="00E035FA"/>
    <w:rsid w:val="00E04245"/>
    <w:rsid w:val="00E25B7E"/>
    <w:rsid w:val="00E471C8"/>
    <w:rsid w:val="00E63340"/>
    <w:rsid w:val="00E7195A"/>
    <w:rsid w:val="00E75582"/>
    <w:rsid w:val="00E80B91"/>
    <w:rsid w:val="00E86D9E"/>
    <w:rsid w:val="00EA52C4"/>
    <w:rsid w:val="00EA61AC"/>
    <w:rsid w:val="00EB41CD"/>
    <w:rsid w:val="00EB4CEB"/>
    <w:rsid w:val="00EC1139"/>
    <w:rsid w:val="00EE1087"/>
    <w:rsid w:val="00EF32F5"/>
    <w:rsid w:val="00EF7116"/>
    <w:rsid w:val="00F02AFE"/>
    <w:rsid w:val="00F17CA2"/>
    <w:rsid w:val="00F33724"/>
    <w:rsid w:val="00F430F0"/>
    <w:rsid w:val="00F44477"/>
    <w:rsid w:val="00F46D79"/>
    <w:rsid w:val="00F52364"/>
    <w:rsid w:val="00F92EBF"/>
    <w:rsid w:val="00F97DCD"/>
    <w:rsid w:val="00FA477B"/>
    <w:rsid w:val="00FE26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EC2178"/>
  <w15:chartTrackingRefBased/>
  <w15:docId w15:val="{D7434EF9-EC23-43A8-89E5-957341E3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4A14"/>
    <w:rPr>
      <w:rFonts w:asciiTheme="minorHAnsi" w:hAnsiTheme="minorHAnsi" w:cstheme="minorHAnsi"/>
      <w:sz w:val="22"/>
      <w:szCs w:val="22"/>
    </w:rPr>
  </w:style>
  <w:style w:type="paragraph" w:styleId="berschrift1">
    <w:name w:val="heading 1"/>
    <w:basedOn w:val="Standard"/>
    <w:next w:val="Standard"/>
    <w:link w:val="berschrift1Zchn"/>
    <w:qFormat/>
    <w:rsid w:val="00EE1087"/>
    <w:pPr>
      <w:keepNext/>
      <w:numPr>
        <w:numId w:val="6"/>
      </w:numPr>
      <w:spacing w:before="120" w:after="120"/>
      <w:outlineLvl w:val="0"/>
    </w:pPr>
    <w:rPr>
      <w:rFonts w:ascii="Arial" w:hAnsi="Arial"/>
      <w:b/>
    </w:rPr>
  </w:style>
  <w:style w:type="paragraph" w:styleId="berschrift2">
    <w:name w:val="heading 2"/>
    <w:basedOn w:val="Standard"/>
    <w:next w:val="Standard"/>
    <w:link w:val="berschrift2Zchn"/>
    <w:qFormat/>
    <w:rsid w:val="00EE1087"/>
    <w:pPr>
      <w:keepNext/>
      <w:numPr>
        <w:ilvl w:val="1"/>
        <w:numId w:val="6"/>
      </w:numPr>
      <w:spacing w:before="120" w:after="120"/>
      <w:ind w:left="851" w:hanging="567"/>
      <w:outlineLvl w:val="1"/>
    </w:pPr>
    <w:rPr>
      <w:b/>
      <w:bCs/>
      <w:sz w:val="28"/>
    </w:rPr>
  </w:style>
  <w:style w:type="paragraph" w:styleId="berschrift3">
    <w:name w:val="heading 3"/>
    <w:basedOn w:val="Standard"/>
    <w:next w:val="Standard"/>
    <w:link w:val="berschrift3Zchn"/>
    <w:unhideWhenUsed/>
    <w:qFormat/>
    <w:rsid w:val="00583A23"/>
    <w:pPr>
      <w:keepNext/>
      <w:keepLines/>
      <w:numPr>
        <w:ilvl w:val="2"/>
        <w:numId w:val="6"/>
      </w:numPr>
      <w:spacing w:before="120" w:after="120"/>
      <w:outlineLvl w:val="2"/>
    </w:pPr>
    <w:rPr>
      <w:rFonts w:asciiTheme="majorHAnsi" w:eastAsiaTheme="majorEastAsia" w:hAnsiTheme="majorHAnsi" w:cstheme="majorBidi"/>
      <w:b/>
      <w:bCs/>
      <w:i/>
      <w:iCs/>
      <w:color w:val="1F3763" w:themeColor="accent1" w:themeShade="7F"/>
    </w:rPr>
  </w:style>
  <w:style w:type="paragraph" w:styleId="berschrift4">
    <w:name w:val="heading 4"/>
    <w:basedOn w:val="Standard"/>
    <w:next w:val="Standard"/>
    <w:link w:val="berschrift4Zchn"/>
    <w:semiHidden/>
    <w:unhideWhenUsed/>
    <w:qFormat/>
    <w:rsid w:val="002806FA"/>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semiHidden/>
    <w:unhideWhenUsed/>
    <w:qFormat/>
    <w:rsid w:val="002806FA"/>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pPr>
      <w:numPr>
        <w:ilvl w:val="5"/>
        <w:numId w:val="6"/>
      </w:numPr>
      <w:spacing w:before="240" w:after="60"/>
      <w:outlineLvl w:val="5"/>
    </w:pPr>
    <w:rPr>
      <w:b/>
      <w:bCs/>
    </w:rPr>
  </w:style>
  <w:style w:type="paragraph" w:styleId="berschrift7">
    <w:name w:val="heading 7"/>
    <w:basedOn w:val="Standard"/>
    <w:next w:val="Standard"/>
    <w:link w:val="berschrift7Zchn"/>
    <w:semiHidden/>
    <w:unhideWhenUsed/>
    <w:qFormat/>
    <w:rsid w:val="002806FA"/>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2806FA"/>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806FA"/>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i/>
    </w:rPr>
  </w:style>
  <w:style w:type="paragraph" w:styleId="RGV-berschrift">
    <w:name w:val="toa heading"/>
    <w:basedOn w:val="Standard"/>
    <w:next w:val="Standard"/>
    <w:semiHidden/>
    <w:pPr>
      <w:spacing w:before="120"/>
    </w:pPr>
    <w:rPr>
      <w:rFonts w:ascii="Arial" w:hAnsi="Arial" w:cs="Arial"/>
      <w:b/>
      <w:bCs/>
    </w:rPr>
  </w:style>
  <w:style w:type="paragraph" w:styleId="Textkrper-Zeileneinzug">
    <w:name w:val="Body Text Indent"/>
    <w:basedOn w:val="Standard"/>
    <w:link w:val="Textkrper-ZeileneinzugZchn"/>
    <w:pPr>
      <w:spacing w:after="120"/>
      <w:ind w:left="283"/>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Nachrichtenkopf">
    <w:name w:val="Message Header"/>
    <w:aliases w:val="Nachrichtenkopf-Eb"/>
    <w:basedOn w:val="Textkrper"/>
    <w:link w:val="NachrichtenkopfZchn"/>
    <w:pPr>
      <w:keepLines/>
      <w:tabs>
        <w:tab w:val="left" w:pos="3600"/>
        <w:tab w:val="left" w:pos="4680"/>
      </w:tabs>
      <w:overflowPunct w:val="0"/>
      <w:autoSpaceDE w:val="0"/>
      <w:autoSpaceDN w:val="0"/>
      <w:adjustRightInd w:val="0"/>
      <w:textAlignment w:val="baseline"/>
    </w:pPr>
    <w:rPr>
      <w:i w:val="0"/>
    </w:rPr>
  </w:style>
  <w:style w:type="paragraph" w:styleId="Anrede">
    <w:name w:val="Salutation"/>
    <w:basedOn w:val="Standard"/>
    <w:next w:val="Standard"/>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0E4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A2C36"/>
    <w:pPr>
      <w:ind w:left="720"/>
      <w:contextualSpacing/>
    </w:pPr>
  </w:style>
  <w:style w:type="character" w:customStyle="1" w:styleId="berschrift3Zchn">
    <w:name w:val="Überschrift 3 Zchn"/>
    <w:basedOn w:val="Absatz-Standardschriftart"/>
    <w:link w:val="berschrift3"/>
    <w:rsid w:val="00583A23"/>
    <w:rPr>
      <w:rFonts w:asciiTheme="majorHAnsi" w:eastAsiaTheme="majorEastAsia" w:hAnsiTheme="majorHAnsi" w:cstheme="majorBidi"/>
      <w:b/>
      <w:bCs/>
      <w:i/>
      <w:iCs/>
      <w:color w:val="1F3763" w:themeColor="accent1" w:themeShade="7F"/>
      <w:sz w:val="22"/>
      <w:szCs w:val="22"/>
    </w:rPr>
  </w:style>
  <w:style w:type="character" w:customStyle="1" w:styleId="berschrift4Zchn">
    <w:name w:val="Überschrift 4 Zchn"/>
    <w:basedOn w:val="Absatz-Standardschriftart"/>
    <w:link w:val="berschrift4"/>
    <w:semiHidden/>
    <w:rsid w:val="002806FA"/>
    <w:rPr>
      <w:rFonts w:asciiTheme="majorHAnsi" w:eastAsiaTheme="majorEastAsia" w:hAnsiTheme="majorHAnsi" w:cstheme="majorBidi"/>
      <w:i/>
      <w:iCs/>
      <w:color w:val="2F5496" w:themeColor="accent1" w:themeShade="BF"/>
      <w:sz w:val="22"/>
      <w:szCs w:val="22"/>
    </w:rPr>
  </w:style>
  <w:style w:type="character" w:customStyle="1" w:styleId="berschrift5Zchn">
    <w:name w:val="Überschrift 5 Zchn"/>
    <w:basedOn w:val="Absatz-Standardschriftart"/>
    <w:link w:val="berschrift5"/>
    <w:semiHidden/>
    <w:rsid w:val="002806FA"/>
    <w:rPr>
      <w:rFonts w:asciiTheme="majorHAnsi" w:eastAsiaTheme="majorEastAsia" w:hAnsiTheme="majorHAnsi" w:cstheme="majorBidi"/>
      <w:color w:val="2F5496" w:themeColor="accent1" w:themeShade="BF"/>
      <w:sz w:val="22"/>
      <w:szCs w:val="22"/>
    </w:rPr>
  </w:style>
  <w:style w:type="character" w:customStyle="1" w:styleId="berschrift7Zchn">
    <w:name w:val="Überschrift 7 Zchn"/>
    <w:basedOn w:val="Absatz-Standardschriftart"/>
    <w:link w:val="berschrift7"/>
    <w:semiHidden/>
    <w:rsid w:val="002806FA"/>
    <w:rPr>
      <w:rFonts w:asciiTheme="majorHAnsi" w:eastAsiaTheme="majorEastAsia" w:hAnsiTheme="majorHAnsi" w:cstheme="majorBidi"/>
      <w:i/>
      <w:iCs/>
      <w:color w:val="1F3763" w:themeColor="accent1" w:themeShade="7F"/>
      <w:sz w:val="22"/>
      <w:szCs w:val="22"/>
    </w:rPr>
  </w:style>
  <w:style w:type="character" w:customStyle="1" w:styleId="berschrift8Zchn">
    <w:name w:val="Überschrift 8 Zchn"/>
    <w:basedOn w:val="Absatz-Standardschriftart"/>
    <w:link w:val="berschrift8"/>
    <w:semiHidden/>
    <w:rsid w:val="002806F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2806FA"/>
    <w:rPr>
      <w:rFonts w:asciiTheme="majorHAnsi" w:eastAsiaTheme="majorEastAsia" w:hAnsiTheme="majorHAnsi" w:cstheme="majorBidi"/>
      <w:i/>
      <w:iCs/>
      <w:color w:val="272727" w:themeColor="text1" w:themeTint="D8"/>
      <w:sz w:val="21"/>
      <w:szCs w:val="21"/>
    </w:rPr>
  </w:style>
  <w:style w:type="character" w:customStyle="1" w:styleId="berschrift1Zchn">
    <w:name w:val="Überschrift 1 Zchn"/>
    <w:basedOn w:val="Absatz-Standardschriftart"/>
    <w:link w:val="berschrift1"/>
    <w:rsid w:val="00EE1087"/>
    <w:rPr>
      <w:rFonts w:ascii="Arial" w:hAnsi="Arial" w:cstheme="minorHAnsi"/>
      <w:b/>
      <w:sz w:val="22"/>
      <w:szCs w:val="22"/>
    </w:rPr>
  </w:style>
  <w:style w:type="character" w:customStyle="1" w:styleId="berschrift2Zchn">
    <w:name w:val="Überschrift 2 Zchn"/>
    <w:basedOn w:val="Absatz-Standardschriftart"/>
    <w:link w:val="berschrift2"/>
    <w:rsid w:val="00EE1087"/>
    <w:rPr>
      <w:rFonts w:asciiTheme="minorHAnsi" w:hAnsiTheme="minorHAnsi" w:cstheme="minorHAnsi"/>
      <w:b/>
      <w:bCs/>
      <w:sz w:val="28"/>
      <w:szCs w:val="22"/>
    </w:rPr>
  </w:style>
  <w:style w:type="paragraph" w:customStyle="1" w:styleId="Formatvorlageberschrift3Fett">
    <w:name w:val="Formatvorlage Überschrift 3 + Fett"/>
    <w:basedOn w:val="berschrift3"/>
    <w:autoRedefine/>
    <w:rsid w:val="00684173"/>
    <w:rPr>
      <w:b w:val="0"/>
      <w:bCs w:val="0"/>
    </w:rPr>
  </w:style>
  <w:style w:type="paragraph" w:styleId="Inhaltsverzeichnisberschrift">
    <w:name w:val="TOC Heading"/>
    <w:basedOn w:val="berschrift1"/>
    <w:next w:val="Standard"/>
    <w:uiPriority w:val="39"/>
    <w:unhideWhenUsed/>
    <w:qFormat/>
    <w:rsid w:val="00855044"/>
    <w:pPr>
      <w:keepLines/>
      <w:numPr>
        <w:numId w:val="0"/>
      </w:numPr>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Verzeichnis1">
    <w:name w:val="toc 1"/>
    <w:basedOn w:val="Standard"/>
    <w:next w:val="Standard"/>
    <w:autoRedefine/>
    <w:uiPriority w:val="39"/>
    <w:rsid w:val="00855044"/>
    <w:pPr>
      <w:spacing w:after="100"/>
    </w:pPr>
  </w:style>
  <w:style w:type="character" w:customStyle="1" w:styleId="TextkrperZchn">
    <w:name w:val="Textkörper Zchn"/>
    <w:basedOn w:val="Absatz-Standardschriftart"/>
    <w:link w:val="Textkrper"/>
    <w:rsid w:val="00684173"/>
    <w:rPr>
      <w:rFonts w:asciiTheme="minorHAnsi" w:hAnsiTheme="minorHAnsi" w:cstheme="minorHAnsi"/>
      <w:i/>
      <w:sz w:val="24"/>
      <w:szCs w:val="24"/>
    </w:rPr>
  </w:style>
  <w:style w:type="character" w:customStyle="1" w:styleId="Textkrper-ZeileneinzugZchn">
    <w:name w:val="Textkörper-Zeileneinzug Zchn"/>
    <w:basedOn w:val="Absatz-Standardschriftart"/>
    <w:link w:val="Textkrper-Zeileneinzug"/>
    <w:rsid w:val="00684173"/>
    <w:rPr>
      <w:rFonts w:asciiTheme="minorHAnsi" w:hAnsiTheme="minorHAnsi" w:cstheme="minorHAnsi"/>
      <w:sz w:val="24"/>
      <w:szCs w:val="24"/>
    </w:rPr>
  </w:style>
  <w:style w:type="paragraph" w:styleId="Verzeichnis2">
    <w:name w:val="toc 2"/>
    <w:basedOn w:val="Standard"/>
    <w:next w:val="Standard"/>
    <w:autoRedefine/>
    <w:uiPriority w:val="39"/>
    <w:rsid w:val="00855044"/>
    <w:pPr>
      <w:spacing w:after="100"/>
      <w:ind w:left="240"/>
    </w:pPr>
  </w:style>
  <w:style w:type="paragraph" w:styleId="Verzeichnis3">
    <w:name w:val="toc 3"/>
    <w:basedOn w:val="Standard"/>
    <w:next w:val="Standard"/>
    <w:autoRedefine/>
    <w:uiPriority w:val="39"/>
    <w:rsid w:val="00855044"/>
    <w:pPr>
      <w:spacing w:after="100"/>
      <w:ind w:left="480"/>
    </w:pPr>
  </w:style>
  <w:style w:type="character" w:styleId="Hyperlink">
    <w:name w:val="Hyperlink"/>
    <w:basedOn w:val="Absatz-Standardschriftart"/>
    <w:uiPriority w:val="99"/>
    <w:unhideWhenUsed/>
    <w:rsid w:val="00855044"/>
    <w:rPr>
      <w:color w:val="0563C1" w:themeColor="hyperlink"/>
      <w:u w:val="single"/>
    </w:rPr>
  </w:style>
  <w:style w:type="character" w:styleId="Hervorhebung">
    <w:name w:val="Emphasis"/>
    <w:basedOn w:val="Absatz-Standardschriftart"/>
    <w:qFormat/>
    <w:rsid w:val="00FA477B"/>
    <w:rPr>
      <w:i/>
      <w:iCs/>
    </w:rPr>
  </w:style>
  <w:style w:type="character" w:customStyle="1" w:styleId="NachrichtenkopfZchn">
    <w:name w:val="Nachrichtenkopf Zchn"/>
    <w:aliases w:val="Nachrichtenkopf-Eb Zchn"/>
    <w:basedOn w:val="Absatz-Standardschriftart"/>
    <w:link w:val="Nachrichtenkopf"/>
    <w:rsid w:val="00B13334"/>
    <w:rPr>
      <w:rFonts w:asciiTheme="minorHAnsi" w:hAnsiTheme="minorHAnsi" w:cstheme="minorHAnsi"/>
      <w:sz w:val="24"/>
      <w:szCs w:val="24"/>
    </w:rPr>
  </w:style>
  <w:style w:type="paragraph" w:styleId="Funotentext">
    <w:name w:val="footnote text"/>
    <w:basedOn w:val="Standard"/>
    <w:link w:val="FunotentextZchn"/>
    <w:rsid w:val="00242C69"/>
    <w:rPr>
      <w:sz w:val="20"/>
      <w:szCs w:val="20"/>
    </w:rPr>
  </w:style>
  <w:style w:type="character" w:customStyle="1" w:styleId="FunotentextZchn">
    <w:name w:val="Fußnotentext Zchn"/>
    <w:basedOn w:val="Absatz-Standardschriftart"/>
    <w:link w:val="Funotentext"/>
    <w:rsid w:val="00242C69"/>
    <w:rPr>
      <w:rFonts w:asciiTheme="minorHAnsi" w:hAnsiTheme="minorHAnsi" w:cstheme="minorHAnsi"/>
    </w:rPr>
  </w:style>
  <w:style w:type="character" w:styleId="Funotenzeichen">
    <w:name w:val="footnote reference"/>
    <w:basedOn w:val="Absatz-Standardschriftart"/>
    <w:rsid w:val="00242C69"/>
    <w:rPr>
      <w:vertAlign w:val="superscript"/>
    </w:rPr>
  </w:style>
  <w:style w:type="character" w:styleId="Platzhaltertext">
    <w:name w:val="Placeholder Text"/>
    <w:basedOn w:val="Absatz-Standardschriftart"/>
    <w:uiPriority w:val="99"/>
    <w:semiHidden/>
    <w:rsid w:val="004259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78130">
      <w:bodyDiv w:val="1"/>
      <w:marLeft w:val="0"/>
      <w:marRight w:val="0"/>
      <w:marTop w:val="0"/>
      <w:marBottom w:val="0"/>
      <w:divBdr>
        <w:top w:val="none" w:sz="0" w:space="0" w:color="auto"/>
        <w:left w:val="none" w:sz="0" w:space="0" w:color="auto"/>
        <w:bottom w:val="none" w:sz="0" w:space="0" w:color="auto"/>
        <w:right w:val="none" w:sz="0" w:space="0" w:color="auto"/>
      </w:divBdr>
    </w:div>
    <w:div w:id="918296841">
      <w:bodyDiv w:val="1"/>
      <w:marLeft w:val="0"/>
      <w:marRight w:val="0"/>
      <w:marTop w:val="0"/>
      <w:marBottom w:val="0"/>
      <w:divBdr>
        <w:top w:val="none" w:sz="0" w:space="0" w:color="auto"/>
        <w:left w:val="none" w:sz="0" w:space="0" w:color="auto"/>
        <w:bottom w:val="none" w:sz="0" w:space="0" w:color="auto"/>
        <w:right w:val="none" w:sz="0" w:space="0" w:color="auto"/>
      </w:divBdr>
    </w:div>
    <w:div w:id="1164470375">
      <w:bodyDiv w:val="1"/>
      <w:marLeft w:val="0"/>
      <w:marRight w:val="0"/>
      <w:marTop w:val="0"/>
      <w:marBottom w:val="0"/>
      <w:divBdr>
        <w:top w:val="none" w:sz="0" w:space="0" w:color="auto"/>
        <w:left w:val="none" w:sz="0" w:space="0" w:color="auto"/>
        <w:bottom w:val="none" w:sz="0" w:space="0" w:color="auto"/>
        <w:right w:val="none" w:sz="0" w:space="0" w:color="auto"/>
      </w:divBdr>
    </w:div>
    <w:div w:id="174733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0.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eval.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90C7E-F7A1-4797-B3F6-D3331D02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2956</Words>
  <Characters>20822</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Explosionsschutzdokument</vt:lpstr>
    </vt:vector>
  </TitlesOfParts>
  <Company>ACS</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Explosionsschutzdokument</dc:title>
  <dc:subject/>
  <dc:creator>Dr. Rainer GAGSTAEDTER</dc:creator>
  <cp:keywords/>
  <dc:description/>
  <cp:lastModifiedBy>Sturm Karin</cp:lastModifiedBy>
  <cp:revision>6</cp:revision>
  <cp:lastPrinted>2020-10-26T11:00:00Z</cp:lastPrinted>
  <dcterms:created xsi:type="dcterms:W3CDTF">2020-11-18T14:46:00Z</dcterms:created>
  <dcterms:modified xsi:type="dcterms:W3CDTF">2020-11-19T08:50:00Z</dcterms:modified>
</cp:coreProperties>
</file>